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Marek David C</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Myovant Sciences Ltd.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MYOV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MYOVANT SCIENCES INC.</w:t>
            </w:r>
          </w:p>
        </w:tc>
        <w:tc>
          <w:tcPr>
            <w:tcW w:w="21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04/19/2022</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SIERRA POINT PARKWAY, 9TH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625"/>
        <w:spacing w:after="0"/>
        <w:rPr>
          <w:sz w:val="20"/>
          <w:szCs w:val="20"/>
          <w:color w:val="auto"/>
        </w:rPr>
      </w:pPr>
      <w:r>
        <w:rPr>
          <w:rFonts w:ascii="Times New Roman" w:cs="Times New Roman" w:eastAsia="Times New Roman" w:hAnsi="Times New Roman"/>
          <w:sz w:val="17"/>
          <w:szCs w:val="17"/>
          <w:color w:val="0000FF"/>
        </w:rPr>
        <w:t>Principal Executive Officer</w:t>
      </w:r>
    </w:p>
    <w:p>
      <w:pPr>
        <w:spacing w:after="0" w:line="419"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BRISBANE</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94005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04/19/2022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24,594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10.45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447,956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the tax obligation realized upon the vesting of restricted stock units previously reported in Table I.</w:t>
      </w:r>
    </w:p>
    <w:p>
      <w:pPr>
        <w:spacing w:after="0" w:line="5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at prices ranging from $10.41 to $10.48. The reporting person will provide to the SEC, the issuer or security holder of the issuer, upon request, full information regarding the number of shares sold at each separate price within the range set forth in this footnote.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Matthew Lang,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04/21/2022</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56914" TargetMode="External"/><Relationship Id="rId13" Type="http://schemas.openxmlformats.org/officeDocument/2006/relationships/hyperlink" Target="http://www.sec.gov/cgi-bin/browse-edgar?action=getcompany&amp;CIK=00016790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2022-04-21T15:30:16Z</dcterms:created>
  <dcterms:modified xsi:type="dcterms:W3CDTF">2022-04-21T15:30:16Z</dcterms:modified>
</cp:coreProperties>
</file>