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Sumitomo Chemical Co., Ltd.</w:t>
              </w:r>
            </w:hyperlink>
          </w:p>
        </w:tc>
        <w:tc>
          <w:tcPr>
            <w:tcW w:w="80" w:type="dxa"/>
            <w:vAlign w:val="bottom"/>
          </w:tcPr>
          <w:p>
            <w:pPr>
              <w:spacing w:after="0"/>
              <w:rPr>
                <w:sz w:val="9"/>
                <w:szCs w:val="9"/>
                <w:color w:val="auto"/>
              </w:rPr>
            </w:pPr>
          </w:p>
        </w:tc>
        <w:tc>
          <w:tcPr>
            <w:tcW w:w="28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Myovant Sciences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MYOV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27-1, SHINKAWA 2-CHOME</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6"/>
          </w:tcPr>
          <w:p>
            <w:pPr>
              <w:ind w:left="80"/>
              <w:spacing w:after="0"/>
              <w:rPr>
                <w:sz w:val="20"/>
                <w:szCs w:val="20"/>
                <w:color w:val="auto"/>
              </w:rPr>
            </w:pPr>
            <w:r>
              <w:rPr>
                <w:rFonts w:ascii="Arial" w:cs="Arial" w:eastAsia="Arial" w:hAnsi="Arial"/>
                <w:sz w:val="17"/>
                <w:szCs w:val="17"/>
                <w:color w:val="0000FF"/>
              </w:rPr>
              <w:t>09/08/2021</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gridSpan w:val="2"/>
          </w:tcPr>
          <w:p>
            <w:pPr>
              <w:spacing w:after="0"/>
              <w:rPr>
                <w:sz w:val="18"/>
                <w:szCs w:val="18"/>
                <w:color w:val="auto"/>
              </w:rPr>
            </w:pPr>
          </w:p>
        </w:tc>
        <w:tc>
          <w:tcPr>
            <w:tcW w:w="2620" w:type="dxa"/>
            <w:vAlign w:val="bottom"/>
            <w:tcBorders>
              <w:bottom w:val="single" w:sz="8" w:color="2C2C2C"/>
            </w:tcBorders>
            <w:gridSpan w:val="8"/>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gridSpan w:val="2"/>
          </w:tcPr>
          <w:p>
            <w:pPr>
              <w:spacing w:after="0"/>
              <w:rPr>
                <w:sz w:val="18"/>
                <w:szCs w:val="18"/>
                <w:color w:val="auto"/>
              </w:rPr>
            </w:pPr>
          </w:p>
        </w:tc>
        <w:tc>
          <w:tcPr>
            <w:tcW w:w="2900" w:type="dxa"/>
            <w:vAlign w:val="bottom"/>
            <w:tcBorders>
              <w:bottom w:val="single" w:sz="8" w:color="2C2C2C"/>
            </w:tcBorders>
            <w:gridSpan w:val="7"/>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4"/>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M0</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104-8260</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TOKYO</w:t>
            </w:r>
          </w:p>
        </w:tc>
        <w:tc>
          <w:tcPr>
            <w:tcW w:w="5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6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7"/>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7"/>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140" w:type="dxa"/>
            <w:vAlign w:val="bottom"/>
            <w:gridSpan w:val="4"/>
          </w:tcPr>
          <w:p>
            <w:pPr>
              <w:ind w:left="1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6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9"/>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0" w:type="dxa"/>
            <w:vAlign w:val="bottom"/>
          </w:tcPr>
          <w:p>
            <w:pPr>
              <w:spacing w:after="0"/>
              <w:rPr>
                <w:sz w:val="11"/>
                <w:szCs w:val="11"/>
                <w:color w:val="auto"/>
              </w:rPr>
            </w:pP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gridSpan w:val="3"/>
            <w:vMerge w:val="restart"/>
          </w:tcPr>
          <w:p>
            <w:pPr>
              <w:jc w:val="center"/>
              <w:ind w:right="20"/>
              <w:spacing w:after="0"/>
              <w:rPr>
                <w:sz w:val="20"/>
                <w:szCs w:val="20"/>
                <w:color w:val="auto"/>
              </w:rPr>
            </w:pPr>
            <w:r>
              <w:rPr>
                <w:rFonts w:ascii="Arial" w:cs="Arial" w:eastAsia="Arial" w:hAnsi="Arial"/>
                <w:sz w:val="12"/>
                <w:szCs w:val="12"/>
                <w:b w:val="1"/>
                <w:bCs w:val="1"/>
                <w:color w:val="auto"/>
                <w:w w:val="99"/>
              </w:rPr>
              <w:t>(A) or</w:t>
            </w:r>
          </w:p>
        </w:tc>
        <w:tc>
          <w:tcPr>
            <w:tcW w:w="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gridSpan w:val="3"/>
            <w:vMerge w:val="continue"/>
          </w:tcPr>
          <w:p>
            <w:pPr>
              <w:spacing w:after="0"/>
              <w:rPr>
                <w:sz w:val="10"/>
                <w:szCs w:val="10"/>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09/08/2021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840" w:type="dxa"/>
            <w:vAlign w:val="bottom"/>
            <w:vMerge w:val="restart"/>
          </w:tcPr>
          <w:p>
            <w:pPr>
              <w:jc w:val="right"/>
              <w:ind w:right="111"/>
              <w:spacing w:after="0"/>
              <w:rPr>
                <w:sz w:val="20"/>
                <w:szCs w:val="20"/>
                <w:color w:val="auto"/>
              </w:rPr>
            </w:pPr>
            <w:r>
              <w:rPr>
                <w:rFonts w:ascii="Arial" w:cs="Arial" w:eastAsia="Arial" w:hAnsi="Arial"/>
                <w:sz w:val="17"/>
                <w:szCs w:val="17"/>
                <w:color w:val="0000FF"/>
                <w:w w:val="91"/>
              </w:rPr>
              <w:t>21,902</w:t>
            </w:r>
            <w:r>
              <w:rPr>
                <w:rFonts w:ascii="Arial" w:cs="Arial" w:eastAsia="Arial" w:hAnsi="Arial"/>
                <w:sz w:val="22"/>
                <w:szCs w:val="22"/>
                <w:color w:val="008000"/>
                <w:w w:val="91"/>
                <w:vertAlign w:val="superscript"/>
              </w:rPr>
              <w:t>(1)</w:t>
            </w:r>
          </w:p>
        </w:tc>
        <w:tc>
          <w:tcPr>
            <w:tcW w:w="100" w:type="dxa"/>
            <w:vAlign w:val="bottom"/>
          </w:tcPr>
          <w:p>
            <w:pPr>
              <w:spacing w:after="0"/>
              <w:rPr>
                <w:sz w:val="22"/>
                <w:szCs w:val="22"/>
                <w:color w:val="auto"/>
              </w:rPr>
            </w:pPr>
          </w:p>
        </w:tc>
        <w:tc>
          <w:tcPr>
            <w:tcW w:w="30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2"/>
                <w:szCs w:val="22"/>
                <w:color w:val="auto"/>
              </w:rPr>
            </w:pPr>
          </w:p>
        </w:tc>
        <w:tc>
          <w:tcPr>
            <w:tcW w:w="860" w:type="dxa"/>
            <w:vAlign w:val="bottom"/>
            <w:gridSpan w:val="5"/>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25.7357</w:t>
            </w:r>
            <w:r>
              <w:rPr>
                <w:rFonts w:ascii="Arial" w:cs="Arial" w:eastAsia="Arial" w:hAnsi="Arial"/>
                <w:sz w:val="22"/>
                <w:szCs w:val="22"/>
                <w:color w:val="008000"/>
                <w:w w:val="94"/>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49,317,180</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09/09/2021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840" w:type="dxa"/>
            <w:vAlign w:val="bottom"/>
            <w:vMerge w:val="restart"/>
          </w:tcPr>
          <w:p>
            <w:pPr>
              <w:jc w:val="right"/>
              <w:ind w:right="111"/>
              <w:spacing w:after="0"/>
              <w:rPr>
                <w:sz w:val="20"/>
                <w:szCs w:val="20"/>
                <w:color w:val="auto"/>
              </w:rPr>
            </w:pPr>
            <w:r>
              <w:rPr>
                <w:rFonts w:ascii="Arial" w:cs="Arial" w:eastAsia="Arial" w:hAnsi="Arial"/>
                <w:sz w:val="17"/>
                <w:szCs w:val="17"/>
                <w:color w:val="0000FF"/>
                <w:w w:val="91"/>
              </w:rPr>
              <w:t>37,000</w:t>
            </w:r>
            <w:r>
              <w:rPr>
                <w:rFonts w:ascii="Arial" w:cs="Arial" w:eastAsia="Arial" w:hAnsi="Arial"/>
                <w:sz w:val="22"/>
                <w:szCs w:val="22"/>
                <w:color w:val="008000"/>
                <w:w w:val="91"/>
                <w:vertAlign w:val="superscript"/>
              </w:rPr>
              <w:t>(4)</w:t>
            </w:r>
          </w:p>
        </w:tc>
        <w:tc>
          <w:tcPr>
            <w:tcW w:w="100" w:type="dxa"/>
            <w:vAlign w:val="bottom"/>
          </w:tcPr>
          <w:p>
            <w:pPr>
              <w:spacing w:after="0"/>
              <w:rPr>
                <w:sz w:val="22"/>
                <w:szCs w:val="22"/>
                <w:color w:val="auto"/>
              </w:rPr>
            </w:pPr>
          </w:p>
        </w:tc>
        <w:tc>
          <w:tcPr>
            <w:tcW w:w="30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22"/>
                <w:szCs w:val="22"/>
                <w:color w:val="auto"/>
              </w:rPr>
            </w:pPr>
          </w:p>
        </w:tc>
        <w:tc>
          <w:tcPr>
            <w:tcW w:w="860" w:type="dxa"/>
            <w:vAlign w:val="bottom"/>
            <w:gridSpan w:val="5"/>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25.5175</w:t>
            </w:r>
            <w:r>
              <w:rPr>
                <w:rFonts w:ascii="Arial" w:cs="Arial" w:eastAsia="Arial" w:hAnsi="Arial"/>
                <w:sz w:val="22"/>
                <w:szCs w:val="22"/>
                <w:color w:val="008000"/>
                <w:w w:val="94"/>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49,354,180</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2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2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Sumitomo Chemical Co., Ltd.</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140" w:type="dxa"/>
            <w:vAlign w:val="bottom"/>
            <w:gridSpan w:val="4"/>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27-1, SHINKAWA 2-CHOME</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M0</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104-8260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TOKYO</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1140" w:type="dxa"/>
            <w:vAlign w:val="bottom"/>
            <w:gridSpan w:val="4"/>
          </w:tcPr>
          <w:p>
            <w:pPr>
              <w:ind w:left="2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Dainippon Sumitomo Pharma Co Ltd</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140" w:type="dxa"/>
            <w:vAlign w:val="bottom"/>
            <w:gridSpan w:val="4"/>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9"/>
              </w:rPr>
              <w:t>6-8 DOSHOMACHI 2-CHOME</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M0</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541-0045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OSAKA</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1140" w:type="dxa"/>
            <w:vAlign w:val="bottom"/>
            <w:gridSpan w:val="4"/>
          </w:tcPr>
          <w:p>
            <w:pPr>
              <w:ind w:left="2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Sumitovant Biopharma Ltd.</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tcPr>
          <w:p>
            <w:pPr>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7"/>
                <w:szCs w:val="17"/>
                <w:color w:val="0000FF"/>
                <w:w w:val="93"/>
              </w:rPr>
              <w:t>11-12 ST. JAMES'S SQUARE SUITE 1</w:t>
            </w:r>
          </w:p>
        </w:tc>
        <w:tc>
          <w:tcPr>
            <w:tcW w:w="13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3RD FLOOR</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LONDON</w:t>
            </w:r>
          </w:p>
        </w:tc>
        <w:tc>
          <w:tcPr>
            <w:tcW w:w="1620" w:type="dxa"/>
            <w:vAlign w:val="bottom"/>
          </w:tcPr>
          <w:p>
            <w:pPr>
              <w:ind w:left="220"/>
              <w:spacing w:after="0"/>
              <w:rPr>
                <w:sz w:val="20"/>
                <w:szCs w:val="20"/>
                <w:color w:val="auto"/>
              </w:rPr>
            </w:pPr>
            <w:r>
              <w:rPr>
                <w:rFonts w:ascii="Arial" w:cs="Arial" w:eastAsia="Arial" w:hAnsi="Arial"/>
                <w:sz w:val="17"/>
                <w:szCs w:val="17"/>
                <w:color w:val="0000FF"/>
              </w:rPr>
              <w:t>X0</w:t>
            </w:r>
          </w:p>
        </w:tc>
        <w:tc>
          <w:tcPr>
            <w:tcW w:w="1360" w:type="dxa"/>
            <w:vAlign w:val="bottom"/>
          </w:tcPr>
          <w:p>
            <w:pPr>
              <w:spacing w:after="0"/>
              <w:rPr>
                <w:sz w:val="20"/>
                <w:szCs w:val="20"/>
                <w:color w:val="auto"/>
              </w:rPr>
            </w:pPr>
            <w:r>
              <w:rPr>
                <w:rFonts w:ascii="Arial" w:cs="Arial" w:eastAsia="Arial" w:hAnsi="Arial"/>
                <w:sz w:val="17"/>
                <w:szCs w:val="17"/>
                <w:color w:val="0000FF"/>
              </w:rPr>
              <w:t>SW1Y 4LB</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tcPr>
          <w:p>
            <w:pPr>
              <w:ind w:left="220"/>
              <w:spacing w:after="0"/>
              <w:rPr>
                <w:sz w:val="20"/>
                <w:szCs w:val="20"/>
                <w:color w:val="auto"/>
              </w:rPr>
            </w:pPr>
            <w:r>
              <w:rPr>
                <w:rFonts w:ascii="Arial" w:cs="Arial" w:eastAsia="Arial" w:hAnsi="Arial"/>
                <w:sz w:val="13"/>
                <w:szCs w:val="13"/>
                <w:color w:val="auto"/>
              </w:rPr>
              <w:t>(State)</w:t>
            </w:r>
          </w:p>
        </w:tc>
        <w:tc>
          <w:tcPr>
            <w:tcW w:w="13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9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2903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2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acquisition of a total of 21,902 ordinary shares on the open market is pursuant to a Rule 10b5-1 Stock Trading Plan entered into by the Reporting Person on May 14, 2021 (the "10b5-1 Trading Plan").</w:t>
      </w:r>
    </w:p>
    <w:p>
      <w:pPr>
        <w:spacing w:after="0" w:line="15" w:lineRule="exact"/>
        <w:rPr>
          <w:rFonts w:ascii="Arial" w:cs="Arial" w:eastAsia="Arial" w:hAnsi="Arial"/>
          <w:sz w:val="13"/>
          <w:szCs w:val="13"/>
          <w:color w:val="008000"/>
        </w:rPr>
      </w:pPr>
    </w:p>
    <w:p>
      <w:pPr>
        <w:ind w:right="4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executed in multiple trades ranging from $25.26 to $26.23 per share. The price reported above reflects the weighted average purchase price. The Reporting Person hereby undertakes to provide, upon request by the Commission Staff, the Issuer or a security holder of the Issuer, full information regarding the number of shares and prices at which the transactions were effected.</w:t>
      </w:r>
    </w:p>
    <w:p>
      <w:pPr>
        <w:spacing w:after="0" w:line="25" w:lineRule="exact"/>
        <w:rPr>
          <w:rFonts w:ascii="Arial" w:cs="Arial" w:eastAsia="Arial" w:hAnsi="Arial"/>
          <w:sz w:val="13"/>
          <w:szCs w:val="13"/>
          <w:color w:val="008000"/>
        </w:rPr>
      </w:pPr>
    </w:p>
    <w:p>
      <w:pPr>
        <w:ind w:right="60" w:firstLine="7"/>
        <w:spacing w:after="0" w:line="272"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Sumitovant Biopharma Ltd. ("Sumitovant") directly owns a total of 49,317,180 shares of Common Stock following the acquisition on September 8, 2021. Sumitovant is a wholly-owned subsidiary of Sumitomo Dainippon Pharma Co., Ltd. ("Sumitomo Dainippon"), which is a 51.76% owned subsidiary of Sumitomo Chemical Co., Ltd. ("Sumitomo Chemical"). Sumitomo Dainippon and Sumitomo Chemical may be deemed to indirectly beneficially own (as that term is defined in Rule 13d-3 under the Securities Exchange Act of 1934, as amended) the reported securities that Sumitovant owns. Each of Sumitomo Dainippon and Sumitomo Chemical disclaims beneficial ownership of such reported securities except to the extent of their pecuniary interest therein.</w:t>
      </w:r>
    </w:p>
    <w:p>
      <w:pPr>
        <w:spacing w:after="0" w:line="14" w:lineRule="exact"/>
        <w:rPr>
          <w:rFonts w:ascii="Arial" w:cs="Arial" w:eastAsia="Arial" w:hAnsi="Arial"/>
          <w:sz w:val="12"/>
          <w:szCs w:val="12"/>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acquisition of a total of 37,000 ordinary shares on the open market is pursuant to the 10b5-1 Trading Plan.</w:t>
      </w:r>
    </w:p>
    <w:p>
      <w:pPr>
        <w:spacing w:after="0" w:line="50" w:lineRule="exact"/>
        <w:rPr>
          <w:rFonts w:ascii="Arial" w:cs="Arial" w:eastAsia="Arial" w:hAnsi="Arial"/>
          <w:sz w:val="13"/>
          <w:szCs w:val="13"/>
          <w:color w:val="008000"/>
        </w:rPr>
      </w:pPr>
    </w:p>
    <w:p>
      <w:pPr>
        <w:ind w:right="4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executed in multiple trades ranging from $25.14 to $26.00 per share. The price reported above reflects the weighted average purchase price. The Reporting Person hereby undertakes to provide, upon request by the Commission Staff, the Issuer or a security holder of the Issuer, full information regarding the number of shares and prices at which the transactions were effected.</w:t>
      </w:r>
    </w:p>
    <w:p>
      <w:pPr>
        <w:spacing w:after="0" w:line="25" w:lineRule="exact"/>
        <w:rPr>
          <w:rFonts w:ascii="Arial" w:cs="Arial" w:eastAsia="Arial" w:hAnsi="Arial"/>
          <w:sz w:val="13"/>
          <w:szCs w:val="13"/>
          <w:color w:val="008000"/>
        </w:rPr>
      </w:pPr>
    </w:p>
    <w:p>
      <w:pPr>
        <w:ind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Sumitovant directly owns 49,354,180 shares of Common Stock following the acquisition on September 9, 2021. Sumitovant is a wholly-owned subsidiary of Sumitomo Dainippon, which is a 51.76% owned subsidiary of Sumitomo Chemical. Sumitomo Dainippon and Sumitomo Chemical may be deemed to indirectly beneficially own (as that term is defined in Rule 13d-3 under the Securities Exchange Act of 1934, as amended) the reported securities that Sumitovant owns. Each of Sumitomo Dainippon and Sumitomo Chemical disclaims beneficial ownership of such reported securities except to the extent of their pecuniary interest therein.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Sumitomo Chemical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By: /s/ Swathi Padmanabhan,</w:t>
      </w:r>
      <w:r>
        <w:rPr>
          <w:sz w:val="20"/>
          <w:szCs w:val="20"/>
          <w:color w:val="auto"/>
        </w:rPr>
        <w:tab/>
      </w:r>
      <w:r>
        <w:rPr>
          <w:rFonts w:ascii="Arial" w:cs="Arial" w:eastAsia="Arial" w:hAnsi="Arial"/>
          <w:sz w:val="15"/>
          <w:szCs w:val="15"/>
          <w:color w:val="0000FF"/>
        </w:rPr>
        <w:t>09/10/2021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85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Sumitomo Dainippon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13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 Ltd., By: Tsutomu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6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Nakagawa, Senior Director,</w:t>
      </w:r>
      <w:r>
        <w:rPr>
          <w:sz w:val="20"/>
          <w:szCs w:val="20"/>
          <w:color w:val="auto"/>
        </w:rPr>
        <w:tab/>
      </w:r>
      <w:r>
        <w:rPr>
          <w:rFonts w:ascii="Arial" w:cs="Arial" w:eastAsia="Arial" w:hAnsi="Arial"/>
          <w:sz w:val="15"/>
          <w:szCs w:val="15"/>
          <w:color w:val="0000FF"/>
        </w:rPr>
        <w:t>09/10/2021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Global Corporate Strategy,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2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Tsutomu Nakagawa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5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875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Sumitovant Biopharma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85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7"/>
          <w:szCs w:val="17"/>
          <w:color w:val="0000FF"/>
        </w:rPr>
        <w:t>By: /s/ Swathi Padmanabhan,</w:t>
      </w:r>
      <w:r>
        <w:rPr>
          <w:sz w:val="20"/>
          <w:szCs w:val="20"/>
          <w:color w:val="auto"/>
        </w:rPr>
        <w:tab/>
      </w:r>
      <w:r>
        <w:rPr>
          <w:rFonts w:ascii="Arial" w:cs="Arial" w:eastAsia="Arial" w:hAnsi="Arial"/>
          <w:sz w:val="15"/>
          <w:szCs w:val="15"/>
          <w:color w:val="0000FF"/>
        </w:rPr>
        <w:t>09/10/2021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85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7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798550" TargetMode="External"/><Relationship Id="rId13" Type="http://schemas.openxmlformats.org/officeDocument/2006/relationships/hyperlink" Target="http://www.sec.gov/cgi-bin/browse-edgar?action=getcompany&amp;CIK=0001679082" TargetMode="External"/><Relationship Id="rId14" Type="http://schemas.openxmlformats.org/officeDocument/2006/relationships/hyperlink" Target="http://www.sec.gov/cgi-bin/browse-edgar?action=getcompany&amp;CIK=0001446601" TargetMode="External"/><Relationship Id="rId16" Type="http://schemas.openxmlformats.org/officeDocument/2006/relationships/hyperlink" Target="http://www.sec.gov/cgi-bin/browse-edgar?action=getcompany&amp;CIK=0001798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2021-09-10T16:03:53Z</dcterms:created>
  <dcterms:modified xsi:type="dcterms:W3CDTF">2021-09-10T16:03:53Z</dcterms:modified>
</cp:coreProperties>
</file>