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0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Sumitomo Chemical Co., Ltd.</w:t>
              </w:r>
            </w:hyperlink>
          </w:p>
        </w:tc>
        <w:tc>
          <w:tcPr>
            <w:tcW w:w="80" w:type="dxa"/>
            <w:vAlign w:val="bottom"/>
          </w:tcPr>
          <w:p>
            <w:pPr>
              <w:spacing w:after="0"/>
              <w:rPr>
                <w:sz w:val="9"/>
                <w:szCs w:val="9"/>
                <w:color w:val="auto"/>
              </w:rPr>
            </w:pPr>
          </w:p>
        </w:tc>
        <w:tc>
          <w:tcPr>
            <w:tcW w:w="300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Myovant Sciences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MYOV</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9"/>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00" w:type="dxa"/>
            <w:vAlign w:val="bottom"/>
            <w:gridSpan w:val="4"/>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30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7-1 NIHONBASHI 2-CHOME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6"/>
          </w:tcPr>
          <w:p>
            <w:pPr>
              <w:ind w:left="80"/>
              <w:spacing w:after="0"/>
              <w:rPr>
                <w:sz w:val="20"/>
                <w:szCs w:val="20"/>
                <w:color w:val="auto"/>
              </w:rPr>
            </w:pPr>
            <w:r>
              <w:rPr>
                <w:rFonts w:ascii="Arial" w:cs="Arial" w:eastAsia="Arial" w:hAnsi="Arial"/>
                <w:sz w:val="17"/>
                <w:szCs w:val="17"/>
                <w:color w:val="0000FF"/>
              </w:rPr>
              <w:t>03/10/2023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gridSpan w:val="2"/>
          </w:tcPr>
          <w:p>
            <w:pPr>
              <w:spacing w:after="0"/>
              <w:rPr>
                <w:sz w:val="18"/>
                <w:szCs w:val="18"/>
                <w:color w:val="auto"/>
              </w:rPr>
            </w:pPr>
          </w:p>
        </w:tc>
        <w:tc>
          <w:tcPr>
            <w:tcW w:w="900" w:type="dxa"/>
            <w:vAlign w:val="bottom"/>
            <w:tcBorders>
              <w:bottom w:val="single" w:sz="8" w:color="2C2C2C"/>
            </w:tcBorders>
            <w:gridSpan w:val="4"/>
          </w:tcPr>
          <w:p>
            <w:pPr>
              <w:spacing w:after="0"/>
              <w:rPr>
                <w:sz w:val="18"/>
                <w:szCs w:val="18"/>
                <w:color w:val="auto"/>
              </w:rPr>
            </w:pPr>
          </w:p>
        </w:tc>
        <w:tc>
          <w:tcPr>
            <w:tcW w:w="1460" w:type="dxa"/>
            <w:vAlign w:val="bottom"/>
            <w:tcBorders>
              <w:bottom w:val="single" w:sz="8" w:color="2C2C2C"/>
            </w:tcBorders>
            <w:gridSpan w:val="2"/>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2980" w:type="dxa"/>
            <w:vAlign w:val="bottom"/>
            <w:tcBorders>
              <w:bottom w:val="single" w:sz="8" w:color="2C2C2C"/>
            </w:tcBorders>
            <w:gridSpan w:val="7"/>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15"/>
                <w:szCs w:val="15"/>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7"/>
                <w:szCs w:val="17"/>
                <w:color w:val="0000FF"/>
              </w:rPr>
              <w:t>M0</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103-6020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TOKYO</w:t>
            </w:r>
          </w:p>
        </w:tc>
        <w:tc>
          <w:tcPr>
            <w:tcW w:w="5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30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00" w:type="dxa"/>
            <w:vAlign w:val="bottom"/>
            <w:gridSpan w:val="4"/>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900" w:type="dxa"/>
            <w:vAlign w:val="bottom"/>
            <w:tcBorders>
              <w:bottom w:val="single" w:sz="8" w:color="2C2C2C"/>
            </w:tcBorders>
            <w:gridSpan w:val="4"/>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21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6"/>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8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8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4"/>
              </w:rPr>
              <w:t>Common Shares</w:t>
            </w: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7"/>
                <w:szCs w:val="17"/>
                <w:color w:val="0000FF"/>
                <w:w w:val="98"/>
              </w:rPr>
              <w:t>03/10/2023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400" w:type="dxa"/>
            <w:vAlign w:val="bottom"/>
          </w:tcPr>
          <w:p>
            <w:pPr>
              <w:spacing w:after="0"/>
              <w:rPr>
                <w:sz w:val="22"/>
                <w:szCs w:val="2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7"/>
              </w:rPr>
              <w:t>51,599,200</w:t>
            </w:r>
            <w:r>
              <w:rPr>
                <w:rFonts w:ascii="Arial" w:cs="Arial" w:eastAsia="Arial" w:hAnsi="Arial"/>
                <w:sz w:val="22"/>
                <w:szCs w:val="22"/>
                <w:color w:val="008000"/>
                <w:w w:val="87"/>
                <w:vertAlign w:val="superscript"/>
              </w:rPr>
              <w:t>(1)(2)</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20" w:type="dxa"/>
            <w:vAlign w:val="bottom"/>
            <w:gridSpan w:val="2"/>
            <w:vMerge w:val="restart"/>
          </w:tcPr>
          <w:p>
            <w:pPr>
              <w:ind w:left="2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w w:val="95"/>
              </w:rPr>
              <w:t>45,798,176</w:t>
            </w:r>
            <w:r>
              <w:rPr>
                <w:rFonts w:ascii="Arial" w:cs="Arial" w:eastAsia="Arial" w:hAnsi="Arial"/>
                <w:sz w:val="22"/>
                <w:szCs w:val="22"/>
                <w:color w:val="008000"/>
                <w:w w:val="95"/>
                <w:vertAlign w:val="superscript"/>
              </w:rPr>
              <w:t>(1)(2)</w:t>
            </w:r>
          </w:p>
        </w:tc>
        <w:tc>
          <w:tcPr>
            <w:tcW w:w="240" w:type="dxa"/>
            <w:vAlign w:val="bottom"/>
          </w:tcPr>
          <w:p>
            <w:pPr>
              <w:spacing w:after="0"/>
              <w:rPr>
                <w:sz w:val="22"/>
                <w:szCs w:val="22"/>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40" w:type="dxa"/>
            <w:vAlign w:val="bottom"/>
            <w:gridSpan w:val="25"/>
          </w:tcPr>
          <w:p>
            <w:pPr>
              <w:jc w:val="center"/>
              <w:ind w:left="26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40" w:type="dxa"/>
            <w:vAlign w:val="bottom"/>
            <w:gridSpan w:val="18"/>
          </w:tcPr>
          <w:p>
            <w:pPr>
              <w:jc w:val="center"/>
              <w:ind w:left="39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4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Sumitomo Chemical Co., Ltd.</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spacing w:after="0"/>
              <w:rPr>
                <w:sz w:val="20"/>
                <w:szCs w:val="20"/>
                <w:color w:val="auto"/>
              </w:rPr>
            </w:pPr>
            <w:r>
              <w:rPr>
                <w:rFonts w:ascii="Arial" w:cs="Arial" w:eastAsia="Arial" w:hAnsi="Arial"/>
                <w:sz w:val="17"/>
                <w:szCs w:val="17"/>
                <w:color w:val="0000FF"/>
              </w:rPr>
              <w:t>7-1 NIHONBASHI 2-CHOME</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20"/>
                <w:szCs w:val="20"/>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M0</w:t>
            </w:r>
          </w:p>
        </w:tc>
        <w:tc>
          <w:tcPr>
            <w:tcW w:w="1220" w:type="dxa"/>
            <w:vAlign w:val="bottom"/>
            <w:gridSpan w:val="2"/>
            <w:vMerge w:val="restart"/>
          </w:tcPr>
          <w:p>
            <w:pPr>
              <w:ind w:left="380"/>
              <w:spacing w:after="0"/>
              <w:rPr>
                <w:sz w:val="20"/>
                <w:szCs w:val="20"/>
                <w:color w:val="auto"/>
              </w:rPr>
            </w:pPr>
            <w:r>
              <w:rPr>
                <w:rFonts w:ascii="Arial" w:cs="Arial" w:eastAsia="Arial" w:hAnsi="Arial"/>
                <w:sz w:val="17"/>
                <w:szCs w:val="17"/>
                <w:color w:val="0000FF"/>
              </w:rPr>
              <w:t>103-6020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TOKYO</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Borders>
              <w:bottom w:val="single" w:sz="8" w:color="0000EE"/>
            </w:tcBorders>
            <w:gridSpan w:val="5"/>
          </w:tcPr>
          <w:p>
            <w:pPr>
              <w:spacing w:after="0" w:line="221" w:lineRule="exact"/>
              <w:rPr>
                <w:rFonts w:ascii="Arial" w:cs="Arial" w:eastAsia="Arial" w:hAnsi="Arial"/>
                <w:sz w:val="21"/>
                <w:szCs w:val="21"/>
                <w:color w:val="0000EE"/>
                <w:w w:val="92"/>
              </w:rPr>
            </w:pPr>
            <w:hyperlink r:id="rId14">
              <w:r>
                <w:rPr>
                  <w:rFonts w:ascii="Arial" w:cs="Arial" w:eastAsia="Arial" w:hAnsi="Arial"/>
                  <w:sz w:val="21"/>
                  <w:szCs w:val="21"/>
                  <w:color w:val="0000EE"/>
                  <w:w w:val="92"/>
                </w:rPr>
                <w:t>Sumitomo Pharma Co., Ltd.</w:t>
              </w:r>
            </w:hyperlink>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spacing w:after="0"/>
              <w:rPr>
                <w:sz w:val="20"/>
                <w:szCs w:val="20"/>
                <w:color w:val="auto"/>
              </w:rPr>
            </w:pPr>
            <w:r>
              <w:rPr>
                <w:rFonts w:ascii="Arial" w:cs="Arial" w:eastAsia="Arial" w:hAnsi="Arial"/>
                <w:sz w:val="17"/>
                <w:szCs w:val="17"/>
                <w:color w:val="0000FF"/>
              </w:rPr>
              <w:t>6-8 DOSHOMACHI 2-CHOME</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CHUO-KU,</w:t>
            </w:r>
          </w:p>
        </w:tc>
        <w:tc>
          <w:tcPr>
            <w:tcW w:w="200" w:type="dxa"/>
            <w:vAlign w:val="bottom"/>
          </w:tcPr>
          <w:p>
            <w:pPr>
              <w:spacing w:after="0"/>
              <w:rPr>
                <w:sz w:val="20"/>
                <w:szCs w:val="20"/>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M0</w:t>
            </w:r>
          </w:p>
        </w:tc>
        <w:tc>
          <w:tcPr>
            <w:tcW w:w="1220" w:type="dxa"/>
            <w:vAlign w:val="bottom"/>
            <w:gridSpan w:val="2"/>
            <w:vMerge w:val="restart"/>
          </w:tcPr>
          <w:p>
            <w:pPr>
              <w:ind w:left="380"/>
              <w:spacing w:after="0"/>
              <w:rPr>
                <w:sz w:val="20"/>
                <w:szCs w:val="20"/>
                <w:color w:val="auto"/>
              </w:rPr>
            </w:pPr>
            <w:r>
              <w:rPr>
                <w:rFonts w:ascii="Arial" w:cs="Arial" w:eastAsia="Arial" w:hAnsi="Arial"/>
                <w:sz w:val="17"/>
                <w:szCs w:val="17"/>
                <w:color w:val="0000FF"/>
              </w:rPr>
              <w:t>541-0045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OSAKA</w:t>
            </w: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5"/>
          </w:tcPr>
          <w:p>
            <w:pPr>
              <w:spacing w:after="0" w:line="221" w:lineRule="exact"/>
              <w:rPr>
                <w:rFonts w:ascii="Arial" w:cs="Arial" w:eastAsia="Arial" w:hAnsi="Arial"/>
                <w:sz w:val="21"/>
                <w:szCs w:val="21"/>
                <w:color w:val="0000EE"/>
                <w:w w:val="94"/>
              </w:rPr>
            </w:pPr>
            <w:hyperlink r:id="rId15">
              <w:r>
                <w:rPr>
                  <w:rFonts w:ascii="Arial" w:cs="Arial" w:eastAsia="Arial" w:hAnsi="Arial"/>
                  <w:sz w:val="21"/>
                  <w:szCs w:val="21"/>
                  <w:color w:val="0000EE"/>
                  <w:w w:val="94"/>
                </w:rPr>
                <w:t>Sumitovant Biopharma Ltd.</w:t>
              </w:r>
            </w:hyperlink>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140" w:type="dxa"/>
            <w:vAlign w:val="bottom"/>
            <w:gridSpan w:val="3"/>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-6019800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7TH FLOOR 50 BROADWAY</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LONDON</w:t>
            </w:r>
          </w:p>
        </w:tc>
        <w:tc>
          <w:tcPr>
            <w:tcW w:w="1220" w:type="dxa"/>
            <w:vAlign w:val="bottom"/>
          </w:tcPr>
          <w:p>
            <w:pPr>
              <w:ind w:left="320"/>
              <w:spacing w:after="0"/>
              <w:rPr>
                <w:sz w:val="20"/>
                <w:szCs w:val="20"/>
                <w:color w:val="auto"/>
              </w:rPr>
            </w:pPr>
            <w:r>
              <w:rPr>
                <w:rFonts w:ascii="Arial" w:cs="Arial" w:eastAsia="Arial" w:hAnsi="Arial"/>
                <w:sz w:val="17"/>
                <w:szCs w:val="17"/>
                <w:color w:val="0000FF"/>
              </w:rPr>
              <w:t>X0</w:t>
            </w:r>
          </w:p>
        </w:tc>
        <w:tc>
          <w:tcPr>
            <w:tcW w:w="1860" w:type="dxa"/>
            <w:vAlign w:val="bottom"/>
          </w:tcPr>
          <w:p>
            <w:pPr>
              <w:ind w:left="500"/>
              <w:spacing w:after="0"/>
              <w:rPr>
                <w:sz w:val="20"/>
                <w:szCs w:val="20"/>
                <w:color w:val="auto"/>
              </w:rPr>
            </w:pPr>
            <w:r>
              <w:rPr>
                <w:rFonts w:ascii="Arial" w:cs="Arial" w:eastAsia="Arial" w:hAnsi="Arial"/>
                <w:sz w:val="17"/>
                <w:szCs w:val="17"/>
                <w:color w:val="0000FF"/>
              </w:rPr>
              <w:t>SW1H 0DB</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3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723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30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March 10, 2023, Sumitovant Biopharma Ltd. ("Sumitovant") acquired all of the common shares of Myovant Sciences Ltd. (the "Issuer") not previously held by it pursuant to the terms of an Agreement and Plan of Merger, dated as of October 23, 2022 (the "Merger Agreement"), and a related Statutory Merger Agreement (the "Statutory Merger Agreement", and together with the Merger Agreement, the "Merger Agreements"), entered into by and among the Issuer, Sumitovant, Zeus Sciences Ltd., a wholly owned subsidiary of Sumitovant ("Merger Sub"), and other parties thereto.</w:t>
      </w:r>
    </w:p>
    <w:p>
      <w:pPr>
        <w:spacing w:after="0" w:line="8" w:lineRule="exact"/>
        <w:rPr>
          <w:rFonts w:ascii="Arial" w:cs="Arial" w:eastAsia="Arial" w:hAnsi="Arial"/>
          <w:sz w:val="12"/>
          <w:szCs w:val="12"/>
          <w:color w:val="008000"/>
        </w:rPr>
      </w:pPr>
    </w:p>
    <w:p>
      <w:pPr>
        <w:ind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Pursuant to the Merger Agreements, Merger Sub merged with and into the Issuer, with the Issuer continuing as a wholly owned subsidiary of Sumitovant (the "Merger"). At the effective time of the Merger (the "Effective Time"), each common share of the Issuer outstanding immediately prior to the Effective Time (other than certain excluded shares) automatically converted into the right to receive $27.00 in cash, without interest and less any applicable withholding taxes.</w:t>
      </w:r>
    </w:p>
    <w:p>
      <w:pPr>
        <w:spacing w:after="0" w:line="25" w:lineRule="exact"/>
        <w:rPr>
          <w:rFonts w:ascii="Arial" w:cs="Arial" w:eastAsia="Arial" w:hAnsi="Arial"/>
          <w:sz w:val="13"/>
          <w:szCs w:val="13"/>
          <w:color w:val="008000"/>
        </w:rPr>
      </w:pPr>
    </w:p>
    <w:p>
      <w:pPr>
        <w:ind w:right="260" w:firstLine="7"/>
        <w:spacing w:after="0" w:line="280"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Sumitovant is a wholly-owned subsidiary of Sumitomo Pharma Co., Ltd. ("Sumitomo Pharma"), which is a 51.76% owned subsidiary of Sumitomo Chemical Co., Ltd. ("Sumitomo Chemical"). Sumitomo Pharma and Sumitomo Chemical may be deemed to indirectly beneficially own (as that term is defined in Rule 13d-3 under the Securities Exchange Act of 1934, as amended) the reported securities that Sumitovant owns. Each of Sumitomo Pharma and Sumitomo Chemical disclaims beneficial ownership of such reported securities except to the extent of their pecuniary interest therein.</w:t>
      </w:r>
    </w:p>
    <w:p>
      <w:pPr>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60"/>
          </w:cols>
          <w:pgMar w:left="500" w:top="272" w:right="539" w:bottom="1440" w:gutter="0" w:footer="0" w:header="0"/>
        </w:sectPr>
      </w:pPr>
    </w:p>
    <w:p>
      <w:pPr>
        <w:spacing w:after="0" w:line="148"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Sumitomo Chemical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Takeo Kitayama,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7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Executive Officer,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1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18173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Corporate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9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78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787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Sumitomo Pharma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680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Tsutomu Nakagawa,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0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204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Senior Director,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1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312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Corporate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540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8540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Sumitovant Biopharma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85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/s/ Monika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67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Transactions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0000FF"/>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03/10/2023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5" w:lineRule="exact"/>
        <w:rPr>
          <w:sz w:val="20"/>
          <w:szCs w:val="20"/>
          <w:color w:val="auto"/>
        </w:rPr>
      </w:pPr>
    </w:p>
    <w:p>
      <w:pPr>
        <w:sectPr>
          <w:pgSz w:w="11900" w:h="16838" w:orient="portrait"/>
          <w:cols w:equalWidth="0" w:num="2">
            <w:col w:w="8680" w:space="60"/>
            <w:col w:w="2120"/>
          </w:cols>
          <w:pgMar w:left="500" w:top="272"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72"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2" Type="http://schemas.openxmlformats.org/officeDocument/2006/relationships/hyperlink" Target="http://www.sec.gov/cgi-bin/browse-edgar?action=getcompany&amp;CIK=0001798550" TargetMode="External"/><Relationship Id="rId13" Type="http://schemas.openxmlformats.org/officeDocument/2006/relationships/hyperlink" Target="http://www.sec.gov/cgi-bin/browse-edgar?action=getcompany&amp;CIK=0001679082" TargetMode="External"/><Relationship Id="rId14" Type="http://schemas.openxmlformats.org/officeDocument/2006/relationships/hyperlink" Target="http://www.sec.gov/cgi-bin/browse-edgar?action=getcompany&amp;CIK=0001446601" TargetMode="External"/><Relationship Id="rId15" Type="http://schemas.openxmlformats.org/officeDocument/2006/relationships/hyperlink" Target="http://www.sec.gov/cgi-bin/browse-edgar?action=getcompany&amp;CIK=00017982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2023-03-10T08:38:43Z</dcterms:created>
  <dcterms:modified xsi:type="dcterms:W3CDTF">2023-03-10T08:38:43Z</dcterms:modified>
</cp:coreProperties>
</file>