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333-213891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333-214266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118110</wp:posOffset>
            </wp:positionV>
            <wp:extent cx="191262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262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offering 14,500,000 common shares. Prior to this offering there has been no public market for our common shares. The initial public offering price is $15.00 per common share.</w:t>
      </w:r>
    </w:p>
    <w:p>
      <w:pPr>
        <w:spacing w:after="0" w:line="118"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Our common shares have been authorized for listing on the New York Stock Exchange under the symbol “MYOV.” Upon the closing of this offering, we will be a “controlled company” within the meaning of applicable New York Stock Exchange rules.</w:t>
      </w:r>
    </w:p>
    <w:p>
      <w:pPr>
        <w:spacing w:after="0" w:line="112" w:lineRule="exact"/>
        <w:rPr>
          <w:sz w:val="24"/>
          <w:szCs w:val="24"/>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119380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3"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shares involves a high degree of risk. See “</w:t>
      </w:r>
      <w:hyperlink w:anchor="page1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w:t>
      </w:r>
    </w:p>
    <w:p>
      <w:pPr>
        <w:spacing w:after="0" w:line="158"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Consent under the Exchange Control Act 1972 (and its related regulations) has been obtained from the Bermuda Monetary Authority for the issue and transfer of our common shares to and between residents and non-residents of Bermuda for exchange control purposes provided our common shares remain listed on an appointed stock exchange, which includes the New York Stock Exchange. In granting such consent the Bermuda Monetary Authority does not accept any responsibility for our financial soundness or the correctness of any of the statements made or opinions expressed in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139700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217,500,000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15,225,000</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202,275,000</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underwriting compensation.</w:t>
      </w:r>
    </w:p>
    <w:p>
      <w:pPr>
        <w:spacing w:after="0" w:line="77"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Entities affiliated with Pfizer Inc. and BB Biotech AG have each agreed to purchase 2,000,000 of our common shares in this offering at the initial public offering price. The shares purchased by these entities in this offering will be subject to a 180-day lock-up agreement with the underwriters.</w:t>
      </w:r>
    </w:p>
    <w:p>
      <w:pPr>
        <w:spacing w:after="0" w:line="1"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granted the underwriters the right to purchase up to 2,175,000 additional common shares to cover over-allotments, if any. The underwriters can exercise this right at any time within 30 days after the date of this prospectus.</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November 1, 2016.</w:t>
      </w:r>
    </w:p>
    <w:p>
      <w:pPr>
        <w:spacing w:after="0" w:line="152" w:lineRule="exact"/>
        <w:rPr>
          <w:sz w:val="24"/>
          <w:szCs w:val="24"/>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in the United States nor any other regulatory body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90805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1" w:lineRule="exact"/>
        <w:rPr>
          <w:sz w:val="24"/>
          <w:szCs w:val="24"/>
          <w:color w:val="auto"/>
        </w:rPr>
      </w:pPr>
    </w:p>
    <w:p>
      <w:pPr>
        <w:spacing w:after="0"/>
        <w:tabs>
          <w:tab w:leader="none" w:pos="2960" w:val="left"/>
          <w:tab w:leader="none" w:pos="7280" w:val="left"/>
          <w:tab w:leader="none" w:pos="10200" w:val="left"/>
        </w:tabs>
        <w:rPr>
          <w:sz w:val="20"/>
          <w:szCs w:val="20"/>
          <w:color w:val="auto"/>
        </w:rPr>
      </w:pP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32"/>
          <w:szCs w:val="32"/>
          <w:b w:val="1"/>
          <w:bCs w:val="1"/>
          <w:color w:val="auto"/>
        </w:rPr>
        <w:t>Cowen and Company</w:t>
      </w:r>
      <w:r>
        <w:rPr>
          <w:sz w:val="20"/>
          <w:szCs w:val="20"/>
          <w:color w:val="auto"/>
        </w:rPr>
        <w:tab/>
      </w:r>
      <w:r>
        <w:rPr>
          <w:rFonts w:ascii="Arial" w:cs="Arial" w:eastAsia="Arial" w:hAnsi="Arial"/>
          <w:sz w:val="32"/>
          <w:szCs w:val="32"/>
          <w:b w:val="1"/>
          <w:bCs w:val="1"/>
          <w:color w:val="auto"/>
        </w:rPr>
        <w:t>Evercore ISI</w:t>
      </w:r>
      <w:r>
        <w:rPr>
          <w:sz w:val="20"/>
          <w:szCs w:val="20"/>
          <w:color w:val="auto"/>
        </w:rPr>
        <w:tab/>
      </w:r>
      <w:r>
        <w:rPr>
          <w:rFonts w:ascii="Arial" w:cs="Arial" w:eastAsia="Arial" w:hAnsi="Arial"/>
          <w:sz w:val="28"/>
          <w:szCs w:val="28"/>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168910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Baird</w:t>
      </w:r>
    </w:p>
    <w:p>
      <w:pPr>
        <w:sectPr>
          <w:pgSz w:w="11900" w:h="16838" w:orient="portrait"/>
          <w:cols w:equalWidth="0" w:num="1">
            <w:col w:w="11420"/>
          </w:cols>
          <w:pgMar w:left="240" w:top="230" w:right="239" w:bottom="1440" w:gutter="0" w:footer="0" w:header="0"/>
        </w:sectPr>
      </w:pPr>
    </w:p>
    <w:p>
      <w:pPr>
        <w:spacing w:after="0" w:line="176" w:lineRule="exact"/>
        <w:rPr>
          <w:sz w:val="24"/>
          <w:szCs w:val="24"/>
          <w:color w:val="auto"/>
        </w:rPr>
      </w:pPr>
    </w:p>
    <w:p>
      <w:pPr>
        <w:spacing w:after="0"/>
        <w:rPr>
          <w:sz w:val="20"/>
          <w:szCs w:val="20"/>
          <w:color w:val="auto"/>
        </w:rPr>
      </w:pPr>
      <w:r>
        <w:rPr>
          <w:rFonts w:ascii="Arial" w:cs="Arial" w:eastAsia="Arial" w:hAnsi="Arial"/>
          <w:sz w:val="15"/>
          <w:szCs w:val="15"/>
          <w:color w:val="auto"/>
        </w:rPr>
        <w:t>Prospectus dated October 26,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8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26"/>
        </w:trPr>
        <w:tc>
          <w:tcPr>
            <w:tcW w:w="1500" w:type="dxa"/>
            <w:vAlign w:val="bottom"/>
            <w:tcBorders>
              <w:bottom w:val="single" w:sz="8" w:color="0000EE"/>
            </w:tcBorders>
            <w:gridSpan w:val="12"/>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Prospectus Summary</w:t>
              </w:r>
            </w:hyperlink>
          </w:p>
        </w:tc>
        <w:tc>
          <w:tcPr>
            <w:tcW w:w="7360" w:type="dxa"/>
            <w:vAlign w:val="bottom"/>
            <w:gridSpan w:val="15"/>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7960" w:type="dxa"/>
            <w:vAlign w:val="bottom"/>
            <w:gridSpan w:val="2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8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Special Note Regarding Forward-Looking Statements</w:t>
              </w:r>
            </w:hyperlink>
          </w:p>
        </w:tc>
        <w:tc>
          <w:tcPr>
            <w:tcW w:w="506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Industry and Market Data</w:t>
              </w:r>
            </w:hyperlink>
          </w:p>
        </w:tc>
        <w:tc>
          <w:tcPr>
            <w:tcW w:w="704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Dividend Policy</w:t>
              </w:r>
            </w:hyperlink>
          </w:p>
        </w:tc>
        <w:tc>
          <w:tcPr>
            <w:tcW w:w="770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Capitalization</w:t>
              </w:r>
            </w:hyperlink>
          </w:p>
        </w:tc>
        <w:tc>
          <w:tcPr>
            <w:tcW w:w="786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Dilution</w:t>
              </w:r>
            </w:hyperlink>
          </w:p>
        </w:tc>
        <w:tc>
          <w:tcPr>
            <w:tcW w:w="826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Consolidated Financial Data</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Business</w:t>
              </w:r>
            </w:hyperlink>
          </w:p>
        </w:tc>
        <w:tc>
          <w:tcPr>
            <w:tcW w:w="5660" w:type="dxa"/>
            <w:vAlign w:val="bottom"/>
            <w:tcBorders>
              <w:top w:val="single" w:sz="8" w:color="0000EE"/>
            </w:tcBorders>
            <w:gridSpan w:val="23"/>
          </w:tcPr>
          <w:p>
            <w:pPr>
              <w:spacing w:after="0"/>
              <w:rPr>
                <w:sz w:val="17"/>
                <w:szCs w:val="17"/>
                <w:color w:val="auto"/>
              </w:rPr>
            </w:pPr>
          </w:p>
        </w:tc>
        <w:tc>
          <w:tcPr>
            <w:tcW w:w="25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Certain Relationships and Related Party Transactions</w:t>
              </w:r>
            </w:hyperlink>
          </w:p>
        </w:tc>
        <w:tc>
          <w:tcPr>
            <w:tcW w:w="510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Principal Shareholders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Description of Share Capital</w:t>
              </w:r>
            </w:hyperlink>
          </w:p>
        </w:tc>
        <w:tc>
          <w:tcPr>
            <w:tcW w:w="684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Shares Eligible for Future Sale</w:t>
              </w:r>
            </w:hyperlink>
          </w:p>
        </w:tc>
        <w:tc>
          <w:tcPr>
            <w:tcW w:w="66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24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Bermuda Company Considerations</w:t>
              </w:r>
            </w:hyperlink>
          </w:p>
        </w:tc>
        <w:tc>
          <w:tcPr>
            <w:tcW w:w="63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Material Bermuda and U.S. Federal Income Tax Considerations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Underwriting</w:t>
              </w:r>
            </w:hyperlink>
          </w:p>
        </w:tc>
        <w:tc>
          <w:tcPr>
            <w:tcW w:w="3520" w:type="dxa"/>
            <w:vAlign w:val="bottom"/>
            <w:tcBorders>
              <w:top w:val="single" w:sz="8" w:color="0000EE"/>
            </w:tcBorders>
            <w:gridSpan w:val="18"/>
          </w:tcPr>
          <w:p>
            <w:pPr>
              <w:spacing w:after="0"/>
              <w:rPr>
                <w:sz w:val="17"/>
                <w:szCs w:val="17"/>
                <w:color w:val="auto"/>
              </w:rPr>
            </w:pPr>
          </w:p>
        </w:tc>
        <w:tc>
          <w:tcPr>
            <w:tcW w:w="43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Experts</w:t>
              </w:r>
            </w:hyperlink>
          </w:p>
        </w:tc>
        <w:tc>
          <w:tcPr>
            <w:tcW w:w="788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20"/>
        </w:trPr>
        <w:tc>
          <w:tcPr>
            <w:tcW w:w="540" w:type="dxa"/>
            <w:vAlign w:val="bottom"/>
            <w:shd w:val="clear" w:color="auto" w:fill="0000EE"/>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Where You Can Find Additional Information</w:t>
              </w:r>
            </w:hyperlink>
          </w:p>
        </w:tc>
        <w:tc>
          <w:tcPr>
            <w:tcW w:w="56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Exchange Controls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1340" w:type="dxa"/>
            <w:vAlign w:val="bottom"/>
            <w:gridSpan w:val="11"/>
            <w:shd w:val="clear" w:color="auto" w:fill="0000EE"/>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Enforcement of Civil Liabilities Under United States Federal Securities Laws</w:t>
              </w:r>
            </w:hyperlink>
          </w:p>
        </w:tc>
        <w:tc>
          <w:tcPr>
            <w:tcW w:w="340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30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Index to Consolidated Financial Statements</w:t>
              </w:r>
            </w:hyperlink>
          </w:p>
        </w:tc>
        <w:tc>
          <w:tcPr>
            <w:tcW w:w="57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the date on the cover of this prospectus.</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left="200" w:right="360" w:firstLine="885"/>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common shares,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Myovant Sciences Ltd. and our wholly-owned subsidiaries. Our fiscal year ends on March 31.</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8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therapies for women’s health diseases and other endocrine-related disorders. Our lead product candidate is relugolix, an oral, once-daily, small molecule that acts as a gonadotropin-releasing hormone, or GnRH, receptor antagonist. We are advancing relugolix for the treatment of heavy menstrual bleeding associated with uterine fibroids, endometriosis-associated pain and advanced prostate cancer.</w:t>
      </w:r>
    </w:p>
    <w:p>
      <w:pPr>
        <w:spacing w:after="0" w:line="130"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Relugolix has been evaluated in over 1,300 subjects to date, in Phase 1 and multiple large, randomized Phase 2 clinical trials, some of which are ongoing. These trials have produced favorable results in each indication. In these trials, relugolix was shown to be generally well tolerated and to successfully suppress estrogen and progesterone levels in women and testosterone levels in men. The suppression of estrogen and progesterone levels in women has been shown to effectively treat the symptoms of uterine fibroids and endometriosis, and the suppression of testosterone levels in men has been shown to effectively treat advanced prostate cancer.</w:t>
      </w:r>
    </w:p>
    <w:p>
      <w:pPr>
        <w:spacing w:after="0" w:line="129"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In a double-blind, placebo-controlled Phase 2 clinical trial in 216 women, relugolix markedly decreased menstrual blood loss associated with uterine fibroids. The result was statistically significant for each treatment arm versus placebo, with the greatest benefit observed at a dose of 40 mg once daily (p&lt;0.0001). In a double-blind, placebo-controlled Phase 2 clinical trial in 487 women with endometriosis, relugolix decreased pelvic pain associated with endometriosis. As assessed by the visual analogue scale, a patient-reported scale for the quantification of pain, the decline in pain was statistically significant between each dose arm and placebo, with the greatest benefit observed at a dose of 40 mg once daily (p&lt;0.0001).</w:t>
      </w:r>
    </w:p>
    <w:p>
      <w:pPr>
        <w:spacing w:after="0" w:line="102"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In two randomized Phase 2 clinical trials in 228 men with advanced prostate cancer, relugolix demonstrated an ability to decrease testosterone to very low levels and to reduce levels of prostate-specific antigen, a key prostate cancer biomarker. These results for relugolix were consistent with those for leuprolide acetate, or leuprolide, a GnRH agonist typically used in androgen deprivation therapy, or ADT, and for degarelix, an injectable GnRH antagonist. Unlike GnRH agonists, relugolix, when orally administered once daily, was shown in these trials to rapidly decrease testosterone levels. In addition, testosterone levels returned to baseline more rapidly after discontinuation of relugolix than after discontinuation of degarelix.</w:t>
      </w:r>
    </w:p>
    <w:p>
      <w:pPr>
        <w:spacing w:after="0" w:line="102"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plan to initiate three multinational Phase 3 clinical programs for relugolix, one in the first quarter of 2017 in women with heavy menstrual bleeding associated with uterine fibroids, a second in the first half of 2017 in women with endometriosis-associated pain, and a third in the first quarter of 2017 in men with advanced prostate cancer. For our uterine fibroid and endometriosis programs, we intend to co-administer relugolix with low-dose estradiol and progestin as add-back therapy. Estradiol is a major estrogen and progestin is a synthetic progestational agent. We expect to report top-line data from each of these Phase 3 programs in 2019.</w:t>
      </w:r>
    </w:p>
    <w:p>
      <w:pPr>
        <w:spacing w:after="0" w:line="129"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We plan to develop our second product candidate, RVT-602, an oligopeptide kisspeptin analog, for the treatment of female infertility as part of assisted reproduction. Kisspeptin is a naturally-occurring peptide that stimulates GnRH release. RVT-602 has been evaluated in approximately 150 men, but has not yet been studied in women. In the second half of 2017, we expect to initiate a Phase 1 healthy-volunteer study in women followed by a</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Phase 2 proof-of-concept trial for RVT-602. We believe RVT-602 has the potential to be a safer alternative to human chorionic gonadotropin when used as part of assisted reproduction for the treatment of female infertility, based on published data evaluating native kisspeptin in women undergoing assisted reproduction.</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represents our current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hanging="223"/>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the submission of our investigational new drug application to the U.S. Food and Drug Administration, or FDA, which we expect to occur in 2016.</w:t>
      </w:r>
    </w:p>
    <w:p>
      <w:pPr>
        <w:ind w:left="200"/>
        <w:spacing w:after="0" w:line="221" w:lineRule="auto"/>
        <w:rPr>
          <w:rFonts w:ascii="Arial" w:cs="Arial" w:eastAsia="Arial" w:hAnsi="Arial"/>
          <w:sz w:val="14"/>
          <w:szCs w:val="14"/>
          <w:color w:val="auto"/>
        </w:rPr>
      </w:pPr>
      <w:r>
        <w:rPr>
          <w:rFonts w:ascii="Arial" w:cs="Arial" w:eastAsia="Arial" w:hAnsi="Arial"/>
          <w:sz w:val="14"/>
          <w:szCs w:val="14"/>
          <w:color w:val="auto"/>
        </w:rPr>
        <w:t>2  Subject to our End of Phase 2 meeting with the FDA, which we expect to occur in the first quarter of 2017.</w:t>
      </w:r>
    </w:p>
    <w:p>
      <w:pPr>
        <w:ind w:left="200"/>
        <w:spacing w:after="0" w:line="221" w:lineRule="auto"/>
        <w:rPr>
          <w:rFonts w:ascii="Arial" w:cs="Arial" w:eastAsia="Arial" w:hAnsi="Arial"/>
          <w:sz w:val="14"/>
          <w:szCs w:val="14"/>
          <w:color w:val="auto"/>
        </w:rPr>
      </w:pPr>
      <w:r>
        <w:rPr>
          <w:rFonts w:ascii="Arial" w:cs="Arial" w:eastAsia="Arial" w:hAnsi="Arial"/>
          <w:sz w:val="14"/>
          <w:szCs w:val="14"/>
          <w:color w:val="auto"/>
        </w:rPr>
        <w:t>3  An End of Phase 2 meeting confirmed that there are no additional clinical trials or nonclinical studies required to support the initiation of a Phase 3 trial.</w:t>
      </w:r>
    </w:p>
    <w:p>
      <w:pPr>
        <w:ind w:left="420" w:right="40" w:hanging="216"/>
        <w:spacing w:after="0" w:line="221" w:lineRule="auto"/>
        <w:rPr>
          <w:rFonts w:ascii="Arial" w:cs="Arial" w:eastAsia="Arial" w:hAnsi="Arial"/>
          <w:sz w:val="14"/>
          <w:szCs w:val="14"/>
          <w:color w:val="auto"/>
        </w:rPr>
      </w:pPr>
      <w:r>
        <w:rPr>
          <w:rFonts w:ascii="Arial" w:cs="Arial" w:eastAsia="Arial" w:hAnsi="Arial"/>
          <w:sz w:val="14"/>
          <w:szCs w:val="14"/>
          <w:color w:val="auto"/>
        </w:rPr>
        <w:t>4 RVT-602 has been evaluated in Phase 1 and Phase 2a clinical trials conducted by Takeda in men for the treatment of prostate cancer and hypogonadotropic hypogonadism, or a state of low testosterone levels. We plan to initiate a Phase 1 healthy-volunteer study in women followed by a Phase 2 proof-of-concept trial.</w:t>
      </w:r>
    </w:p>
    <w:p>
      <w:pPr>
        <w:ind w:left="420" w:right="40" w:hanging="216"/>
        <w:spacing w:after="0" w:line="230" w:lineRule="auto"/>
        <w:rPr>
          <w:rFonts w:ascii="Arial" w:cs="Arial" w:eastAsia="Arial" w:hAnsi="Arial"/>
          <w:sz w:val="14"/>
          <w:szCs w:val="14"/>
          <w:color w:val="auto"/>
        </w:rPr>
      </w:pPr>
      <w:r>
        <w:rPr>
          <w:rFonts w:ascii="Arial" w:cs="Arial" w:eastAsia="Arial" w:hAnsi="Arial"/>
          <w:sz w:val="14"/>
          <w:szCs w:val="14"/>
          <w:color w:val="auto"/>
        </w:rPr>
        <w:t>5 Takeda Territory includes Japan, China, Hong Kong, Indonesia, Korea, Malaysia, Philippines, Singapore, Taiwan, Thailand and Vietnam, including, in each case, the territories and possessions of each of the foregoing.</w:t>
      </w:r>
    </w:p>
    <w:p>
      <w:pPr>
        <w:spacing w:after="0" w:line="128"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In April 2016, we entered into a license agreement with Takeda Pharmaceuticals International AG, or Takeda, in which we were granted an exclusive, royalty-bearing license to develop and commercialize relugolix and RVT-602. The territory for our exclusive license for relugolix covers all countries worldwide, excluding the Takeda Territory, to which Takeda retains exclusive rights. The territory for our exclusive license for RVT-602 covers all countries worldwide. Takeda is currently conducting two Phase 3 trials evaluating relugolix in Japan for the treatment of uterine fibroid-related pain and heavy menstrual bleeding, respectively. Takeda expects to report top-line data from each of these trials in the second half of 2017, and we expect to submit Takeda’s Phase 3 data as part of our new drug application, or NDA, to the FDA for relugolix for the treatment of heavy menstrual bleeding associated with uterine fibroids.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Relugolix</w:t>
      </w:r>
    </w:p>
    <w:p>
      <w:pPr>
        <w:spacing w:after="0" w:line="8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Relugolix is an oral, once-daily, small molecule that acts as a GnRH receptor antagonist that binds to and inhibits receptors in the anterior pituitary gland. Inhibition of GnRH receptors decreases the release of gonadotropins, thereby decreasing the down-stream production of estrogen and progesterone by the ovaries in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color w:val="auto"/>
        </w:rPr>
        <w:t>women and testosterone by the testes in men. This is a clinically-validated mechanism of action and there is a commercially available injectable GnRH receptor antagonist for the treatment of advanced prostate cancer.</w:t>
      </w:r>
    </w:p>
    <w:p>
      <w:pPr>
        <w:spacing w:after="0" w:line="11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intend to commercialize relugolix, if approved, in our target women’s health indications as a fixed-dose combination product, which is a once-daily, single pill containing both relugolix and low-dose estradiol and progestin. During development, relugolix will be co-administered with low-dose estradiol and progestin for the uterine fibroid and endometriosis indications. We believe relugolix with add-back therapy has the potential to be used longer term, unlike the currently approved GnRH agonist therapies, because it may minimize bone mineral density loss in women and improve tolerability. We therefore believe relugolix has the potential to be a best-in-class oral GnRH receptor antagonist for the treatment of heavy menstrual bleeding associated with uterine fibroids and endometriosis-associated pain. For the treatment of advanced prostate cancer, we believe relugolix has the potential to be both a first-in-class and best-in-class oral GnRH receptor antagonist based upon its high potency and long half-life. A first-in-class product is the first drug, in a class of drugs, approved for the treatment of a medical condition.</w:t>
      </w:r>
    </w:p>
    <w:p>
      <w:pPr>
        <w:spacing w:after="0" w:line="105"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We believe relugolix may offer several significant advantages over currently approved injectable therapies, as well as therapies in late-stage clinical development:</w:t>
      </w:r>
    </w:p>
    <w:p>
      <w:pPr>
        <w:spacing w:after="0" w:line="37" w:lineRule="exact"/>
        <w:rPr>
          <w:sz w:val="20"/>
          <w:szCs w:val="20"/>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Demonstrated clinical benefit with a favorable safety profile</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Once-daily, oral administration</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Highly potent GnRH receptor antagonist</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onset of action</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reversal of hormone suppression</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Longer-term treatment with hormone add-back therapy</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Fixed-dose combination product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83"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Uterine fibroids are non-cancerous tumors composed of smooth muscle and fibrous connective tissue that develop in or on the walls of the uterus, which can cause debilitating symptoms such as heavy or painful periods, anemia, or low red blood cell counts, abdominal pain, pregnancy loss and, in some cases, infertility. We estimate approximately 5.0 million women in the United States suffer from symptomatic uterine fibroids, approximately 3.0 million of whom are inadequately treated by current medical therapy and require further treatment. Endometriosis is a gynecological medical condition in which cells from the lining of the uterus grow outside the uterine cavity, most commonly on the ovaries, which can lead to pelvic pain, painful intercourse and, in some cases, infertility. We estimate that approximately 6.0 million women in the United States suffer from symptomatic endometriosis, approximately 1.2 million of whom are inadequately treated by oral contraceptives and require additional treatment. The current treatment landscape for our target women’s health indications includes both medical and surgical options. For uterine fibroids, medical options include oral contraceptives and GnRH agonists. For endometriosis-associated pain, initial treatment includes oral contraceptives and over-the-counter pain medications. In more severe cases, GnRH agonists are used for short-term treatment and may involve hormone add-back therapy. For many patients suffering from uterine fibroids or endometriosis, medical treatment options are ineffective and surgical intervention is frequently required. In the treatment of both uterine fibroids and endometriosis, surgical intervention may result in postoperative complications or complications with future pregnancy or even preclude the potential for future pregnancy.</w:t>
      </w:r>
    </w:p>
    <w:p>
      <w:pPr>
        <w:spacing w:after="0" w:line="111"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Prostate cancer is the second most prevalent form of cancer in men and the second leading cause of death due to cancer in men in the United States. According to the National Cancer Institute, approximately 2.9 million men are currently living with prostate cancer in the United States, and approximately 180,000 men are newly</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diagnosed in the United States each year. Treatment for advanced prostate cancer typically involves treatment with ADT, which are therapies that reduce testosterone to very low levels, commonly referred to as castration levels. GnRH agonists, such as leuprolide depot, or slow-release, injections, are the current standard of care for medical castration, causing long-term desensitization and down-regulation of the GnRH-axis. GnRH agonists may be associated with mechanism-of-action limitations, including the potentially detrimental initial exacerbation of clinical symptoms, which is known as clinical or hormonal flare. Other approved forms of ADT include injectable GnRH antagonists, such as degarelix.</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jc w:val="both"/>
        <w:ind w:left="200" w:right="60" w:firstLine="443"/>
        <w:spacing w:after="0" w:line="259" w:lineRule="auto"/>
        <w:rPr>
          <w:sz w:val="20"/>
          <w:szCs w:val="20"/>
          <w:color w:val="auto"/>
        </w:rPr>
      </w:pPr>
      <w:r>
        <w:rPr>
          <w:rFonts w:ascii="Arial" w:cs="Arial" w:eastAsia="Arial" w:hAnsi="Arial"/>
          <w:sz w:val="18"/>
          <w:szCs w:val="18"/>
          <w:color w:val="auto"/>
        </w:rPr>
        <w:t>Our goal is to be the leading global biopharmaceutical company focused on the innovative treatment of women’s health diseases and other endocrine-related disorders in areas of high unmet medical need, and to improve the lives of millions of patients suffering from these diseases. The key elements of our strategy to achieve this goal include the following:</w:t>
      </w:r>
    </w:p>
    <w:p>
      <w:pPr>
        <w:spacing w:after="0" w:line="46" w:lineRule="exact"/>
        <w:rPr>
          <w:sz w:val="20"/>
          <w:szCs w:val="20"/>
          <w:color w:val="auto"/>
        </w:rPr>
      </w:pPr>
    </w:p>
    <w:p>
      <w:pPr>
        <w:ind w:left="840" w:right="1060" w:hanging="211"/>
        <w:spacing w:after="0" w:line="26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advance clinical development of relugolix for the treatment of heavy menstrual bleeding associated with uterine fibroids and endometriosis-associated pain</w:t>
      </w:r>
    </w:p>
    <w:p>
      <w:pPr>
        <w:spacing w:after="0" w:line="37"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advance clinical development of relugolix for the treatment of advanced prostate cancer</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clinical development of RVT-602</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clinical development of relugolix for additional indications</w:t>
      </w:r>
    </w:p>
    <w:p>
      <w:pPr>
        <w:spacing w:after="0" w:line="103" w:lineRule="exact"/>
        <w:rPr>
          <w:rFonts w:ascii="Arial" w:cs="Arial" w:eastAsia="Arial" w:hAnsi="Arial"/>
          <w:sz w:val="18"/>
          <w:szCs w:val="18"/>
          <w:color w:val="auto"/>
        </w:rPr>
      </w:pPr>
    </w:p>
    <w:p>
      <w:pPr>
        <w:ind w:left="840" w:right="80" w:hanging="211"/>
        <w:spacing w:after="0" w:line="26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 or in-license additional clinical- or commercial-stage product candidates for the treatment of women’s health diseases or endocrine-related disorders in a capital-efficient manner</w:t>
      </w:r>
    </w:p>
    <w:p>
      <w:pPr>
        <w:spacing w:after="0" w:line="37"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commercial potential of our product candidates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Leadership</w:t>
      </w:r>
    </w:p>
    <w:p>
      <w:pPr>
        <w:spacing w:after="0" w:line="83"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Lynn Seely, M.D., our Principal Executive Officer, has substantial experience in developing and obtaining approval for drugs for oncology and endocrine-related disorders. Dr. Seely is a board certified endocrinologist and the former Chief Medical Officer of Medivation, Inc. At Medivation, Dr. Seely led the development of Xtandi (enzalutamide) for the treatment of patients with metastatic castration-resistant prostate cancer, which achieved global sales of $1.87 billion in 2015.</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3"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discussed more fully in the section titled “Risk Factors” and include, among others:</w:t>
      </w:r>
    </w:p>
    <w:p>
      <w:pPr>
        <w:spacing w:after="0" w:line="37" w:lineRule="exact"/>
        <w:rPr>
          <w:sz w:val="20"/>
          <w:szCs w:val="20"/>
          <w:color w:val="auto"/>
        </w:rPr>
      </w:pPr>
    </w:p>
    <w:p>
      <w:pPr>
        <w:ind w:left="840" w:right="140" w:hanging="211"/>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 We were incorporated in February 2016, and our operations to date have been limited to organizing and staffing our company, acquiring rights to our product candidates and preparing for and advancing our product candidates into clinical development.</w:t>
      </w:r>
    </w:p>
    <w:p>
      <w:pPr>
        <w:spacing w:after="0" w:line="45" w:lineRule="exact"/>
        <w:rPr>
          <w:rFonts w:ascii="Arial" w:cs="Arial" w:eastAsia="Arial" w:hAnsi="Arial"/>
          <w:sz w:val="18"/>
          <w:szCs w:val="18"/>
          <w:color w:val="auto"/>
        </w:rPr>
      </w:pPr>
    </w:p>
    <w:p>
      <w:pPr>
        <w:ind w:left="840" w:right="18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incur significant losses for the foreseeable future and may never achieve or maintain profitability. Our independent registered public accounting firm has expressed substantial doubt about our ability to continue as a going concern.</w:t>
      </w:r>
    </w:p>
    <w:p>
      <w:pPr>
        <w:spacing w:after="0" w:line="37" w:lineRule="exact"/>
        <w:rPr>
          <w:rFonts w:ascii="Arial" w:cs="Arial" w:eastAsia="Arial" w:hAnsi="Arial"/>
          <w:sz w:val="18"/>
          <w:szCs w:val="18"/>
          <w:color w:val="auto"/>
        </w:rPr>
      </w:pPr>
    </w:p>
    <w:p>
      <w:pPr>
        <w:ind w:left="840" w:right="4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heavily dependent on the success of relugolix and RVT-602, our only product candidates, and if relugolix or RVT-602 does not receive regulatory approval or is not successfully commercialized, our business may be harmed.</w:t>
      </w:r>
    </w:p>
    <w:p>
      <w:pPr>
        <w:spacing w:after="0" w:line="37" w:lineRule="exact"/>
        <w:rPr>
          <w:rFonts w:ascii="Arial" w:cs="Arial" w:eastAsia="Arial" w:hAnsi="Arial"/>
          <w:sz w:val="18"/>
          <w:szCs w:val="18"/>
          <w:color w:val="auto"/>
        </w:rPr>
      </w:pPr>
    </w:p>
    <w:p>
      <w:pPr>
        <w:ind w:left="840" w:right="78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additional capital to fund our operations, and if we fail to obtain necessary financing, we may not be able to complete the development and commercialization of relugolix and RVT-602.</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32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1327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amended and restated bye-laws, we may reduce the voting power of your common shares without your consent.</w:t>
      </w:r>
    </w:p>
    <w:p>
      <w:pPr>
        <w:spacing w:after="0" w:line="103" w:lineRule="exact"/>
        <w:rPr>
          <w:rFonts w:ascii="Arial" w:cs="Arial" w:eastAsia="Arial" w:hAnsi="Arial"/>
          <w:sz w:val="18"/>
          <w:szCs w:val="18"/>
          <w:color w:val="auto"/>
        </w:rPr>
      </w:pPr>
    </w:p>
    <w:p>
      <w:pPr>
        <w:ind w:left="840" w:right="50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trials are very expensive, time-consuming, difficult to design and implement and involve an uncertain outcome. We estimate that our clinical trials of relugolix and RVT-602 will take at least several years to complete.</w:t>
      </w:r>
    </w:p>
    <w:p>
      <w:pPr>
        <w:spacing w:after="0" w:line="37" w:lineRule="exact"/>
        <w:rPr>
          <w:rFonts w:ascii="Arial" w:cs="Arial" w:eastAsia="Arial" w:hAnsi="Arial"/>
          <w:sz w:val="18"/>
          <w:szCs w:val="18"/>
          <w:color w:val="auto"/>
        </w:rPr>
      </w:pPr>
    </w:p>
    <w:p>
      <w:pPr>
        <w:ind w:left="84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rely on third parties to conduct, supervise and monitor our clinical trials, and if those third parties perform in an unsatisfactory manner, it may harm our business.</w:t>
      </w:r>
    </w:p>
    <w:p>
      <w:pPr>
        <w:spacing w:after="0" w:line="37" w:lineRule="exact"/>
        <w:rPr>
          <w:rFonts w:ascii="Arial" w:cs="Arial" w:eastAsia="Arial" w:hAnsi="Arial"/>
          <w:sz w:val="18"/>
          <w:szCs w:val="18"/>
          <w:color w:val="auto"/>
        </w:rPr>
      </w:pPr>
    </w:p>
    <w:p>
      <w:pPr>
        <w:ind w:left="840" w:right="34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37" w:lineRule="exact"/>
        <w:rPr>
          <w:rFonts w:ascii="Arial" w:cs="Arial" w:eastAsia="Arial" w:hAnsi="Arial"/>
          <w:sz w:val="18"/>
          <w:szCs w:val="18"/>
          <w:color w:val="auto"/>
        </w:rPr>
      </w:pPr>
    </w:p>
    <w:p>
      <w:pPr>
        <w:ind w:left="840" w:right="68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have our own manufacturing capabilities and will rely on Takeda and its affiliates and other third parties to produce clinical and commercial supplies of relugolix and RVT-602 and any future product candidate.</w:t>
      </w:r>
    </w:p>
    <w:p>
      <w:pPr>
        <w:spacing w:after="0" w:line="37" w:lineRule="exact"/>
        <w:rPr>
          <w:rFonts w:ascii="Arial" w:cs="Arial" w:eastAsia="Arial" w:hAnsi="Arial"/>
          <w:sz w:val="18"/>
          <w:szCs w:val="18"/>
          <w:color w:val="auto"/>
        </w:rPr>
      </w:pPr>
    </w:p>
    <w:p>
      <w:pPr>
        <w:ind w:left="840" w:right="8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37" w:lineRule="exact"/>
        <w:rPr>
          <w:rFonts w:ascii="Arial" w:cs="Arial" w:eastAsia="Arial" w:hAnsi="Arial"/>
          <w:sz w:val="18"/>
          <w:szCs w:val="18"/>
          <w:color w:val="auto"/>
        </w:rPr>
      </w:pPr>
    </w:p>
    <w:p>
      <w:pPr>
        <w:ind w:left="840" w:right="18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have nine employees who are employed by our wholly-owned subsidiary, Myovant Sciences, Inc., and we rely on Roivant Sciences, Inc. to provide various administrative, research and development and other services.</w:t>
      </w:r>
    </w:p>
    <w:p>
      <w:pPr>
        <w:spacing w:after="0" w:line="37" w:lineRule="exact"/>
        <w:rPr>
          <w:rFonts w:ascii="Arial" w:cs="Arial" w:eastAsia="Arial" w:hAnsi="Arial"/>
          <w:sz w:val="18"/>
          <w:szCs w:val="18"/>
          <w:color w:val="auto"/>
        </w:rPr>
      </w:pPr>
    </w:p>
    <w:p>
      <w:pPr>
        <w:ind w:left="840" w:right="100" w:hanging="211"/>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our acquisition of the rights to relugolix and RVT-602 in April 2016, we were not involved in the development of either of these product candidates and, as a result, we are dependent on Takeda having accurately reported the results and correctly collected and interpreted the data from all clinical trials conducted to date.</w:t>
      </w:r>
    </w:p>
    <w:p>
      <w:pPr>
        <w:spacing w:after="0" w:line="127" w:lineRule="exact"/>
        <w:rPr>
          <w:sz w:val="20"/>
          <w:szCs w:val="20"/>
          <w:color w:val="auto"/>
        </w:rPr>
      </w:pPr>
    </w:p>
    <w:p>
      <w:pPr>
        <w:ind w:left="200" w:right="680" w:firstLine="443"/>
        <w:spacing w:after="0" w:line="268"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operating results and prospects may be adversely affected.</w:t>
      </w:r>
    </w:p>
    <w:p>
      <w:pPr>
        <w:spacing w:after="0" w:line="118" w:lineRule="exact"/>
        <w:rPr>
          <w:sz w:val="20"/>
          <w:szCs w:val="20"/>
          <w:color w:val="auto"/>
        </w:rPr>
      </w:pPr>
    </w:p>
    <w:p>
      <w:pPr>
        <w:jc w:val="both"/>
        <w:ind w:left="200" w:right="100" w:firstLine="443"/>
        <w:spacing w:after="0" w:line="291" w:lineRule="auto"/>
        <w:rPr>
          <w:sz w:val="20"/>
          <w:szCs w:val="20"/>
          <w:color w:val="auto"/>
        </w:rPr>
      </w:pPr>
      <w:r>
        <w:rPr>
          <w:rFonts w:ascii="Arial" w:cs="Arial" w:eastAsia="Arial" w:hAnsi="Arial"/>
          <w:sz w:val="16"/>
          <w:szCs w:val="16"/>
          <w:color w:val="auto"/>
        </w:rPr>
        <w:t>In addition, we are an emerging growth company, as defined in the Jumpstart Our Business Startups Act, or the JOBS Act, enacted in April 2012,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this prospectus, our periodic reports and our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Relationship with Roivant Sciences Ltd., Roivant Sciences, Inc. and Myovant Sciences, Inc.</w:t>
      </w:r>
    </w:p>
    <w:p>
      <w:pPr>
        <w:spacing w:after="0" w:line="8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b w:val="1"/>
          <w:bCs w:val="1"/>
          <w:i w:val="1"/>
          <w:iCs w:val="1"/>
          <w:color w:val="auto"/>
        </w:rPr>
        <w:t xml:space="preserve">Roivant Sciences Ltd. will be our controlling shareholder. </w:t>
      </w:r>
      <w:r>
        <w:rPr>
          <w:rFonts w:ascii="Arial" w:cs="Arial" w:eastAsia="Arial" w:hAnsi="Arial"/>
          <w:sz w:val="16"/>
          <w:szCs w:val="16"/>
          <w:color w:val="auto"/>
        </w:rPr>
        <w:t>We are a majority-owned subsidiary of Roivant Sciences Ltd., a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focused on realizing the full value of promising late-stage drug candidates to improve the lives of patients and their families. Upon the closing of this offering, we will be a “controlled company” within the meaning of the corporate governance rules of the New York Stock Exchange, or NYSE. Upon the closing of this offering, Roivant Sciences Ltd. will own, in the aggregate, approximately 61.8% of our outstanding common shares, or approximately 59.4% if the underwriters exercise their option to purchase additional common shares in full. Roivant Sciences Ltd. will be able to exercise control over all matters requiring shareholder approval, including the election of our directors and approval of significant corporate transactions.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42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4429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b w:val="1"/>
          <w:bCs w:val="1"/>
          <w:i w:val="1"/>
          <w:iCs w:val="1"/>
          <w:color w:val="auto"/>
        </w:rPr>
        <w:t xml:space="preserve">Services Agreement with Roivant Sciences, Inc. </w:t>
      </w:r>
      <w:r>
        <w:rPr>
          <w:rFonts w:ascii="Arial" w:cs="Arial" w:eastAsia="Arial" w:hAnsi="Arial"/>
          <w:sz w:val="16"/>
          <w:szCs w:val="16"/>
          <w:color w:val="auto"/>
        </w:rPr>
        <w:t>We and our wholly-owned subsidiary, Myovant Sciences, Inc., have received, and will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various services provided by our affiliate, Roivant Sciences, Inc., which is a wholly-owned subsidiary of Roivant Sciences Ltd. These services include, but are not limited to, the identification of potential additional product candidates, project management of clinical trials and other development, administrative and financial activities. Following the completion of this offering, we expect that our reliance on Roivant Sciences, Inc. will decrease over time as we, Myovant Sciences, Inc. and any other current or future subsidiary of ours continue to hire the necessary personnel to manage the development and potential commercialization of relugolix and RVT-602. We and Myovant Sciences, Inc. have entered into a services agreement with Roivant Sciences, Inc. in connection with the provision of these services. For a description of this agreement, see the section titled “Certain Relationships and Related Party Transactions—Relationship with Roivant Sciences, Inc.—Services Agreement.”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83"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We are an exempted limited company incorporated under the laws of Bermuda on February 2, 2016. Our registered office is located at Clarendon House, 2 Church Street, Hamilton HM11, Bermuda, and we also have business operations at Park Place, 55 Par-La-Ville Road, 2</w:t>
      </w:r>
      <w:r>
        <w:rPr>
          <w:rFonts w:ascii="Arial" w:cs="Arial" w:eastAsia="Arial" w:hAnsi="Arial"/>
          <w:sz w:val="10"/>
          <w:szCs w:val="10"/>
          <w:color w:val="auto"/>
        </w:rPr>
        <w:t>nd</w:t>
      </w:r>
      <w:r>
        <w:rPr>
          <w:rFonts w:ascii="Arial" w:cs="Arial" w:eastAsia="Arial" w:hAnsi="Arial"/>
          <w:sz w:val="16"/>
          <w:szCs w:val="16"/>
          <w:color w:val="auto"/>
        </w:rPr>
        <w:t xml:space="preserve"> Floor, Hamilton HM11, Bermuda. Our telephone number is +1 (441) 824-8101. Our website address is www.myovant.com. The information contained on our website is not incorporated by reference into this prospectus, and you should not consider any information contained on, or that can be accessed through, our website as part of this prospectus or in deciding whether to purchase our common shares.</w:t>
      </w:r>
    </w:p>
    <w:p>
      <w:pPr>
        <w:spacing w:after="0" w:line="102"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We have three wholly-owned subsidiaries, including Myovant Sciences, Inc., a Delaware corporation, Myovant Holdings Limited, a private limited company incorporated under the laws of England and Wales, and Myovant Sciences GmbH, a company with limited liability formed under the laws of Switzerland. We expect that Myovant Sciences GmbH will be the principal operating company for conducting our business and the entity which will hold our intellectual property rights in relugolix and RVT-602.</w:t>
      </w:r>
    </w:p>
    <w:p>
      <w:pPr>
        <w:spacing w:after="0" w:line="130"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 xml:space="preserve">Solely for convenience, the trademarks and trade names in this prospectus are referred to without the </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0"/>
          <w:szCs w:val="10"/>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24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424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shares offered by us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14,500,000 common shares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 w:lineRule="exact"/>
        <w:rPr>
          <w:sz w:val="20"/>
          <w:szCs w:val="20"/>
          <w:color w:val="auto"/>
        </w:rPr>
      </w:pPr>
    </w:p>
    <w:p>
      <w:pPr>
        <w:ind w:left="280" w:hanging="81"/>
        <w:spacing w:after="0" w:line="268" w:lineRule="auto"/>
        <w:rPr>
          <w:sz w:val="20"/>
          <w:szCs w:val="20"/>
          <w:color w:val="auto"/>
        </w:rPr>
      </w:pPr>
      <w:r>
        <w:rPr>
          <w:rFonts w:ascii="Arial" w:cs="Arial" w:eastAsia="Arial" w:hAnsi="Arial"/>
          <w:sz w:val="18"/>
          <w:szCs w:val="18"/>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60,227,953 common shares (or 62,699,546 common shares if the underwriters exercise their option to purchase additional common shares in full)</w:t>
      </w:r>
    </w:p>
    <w:p>
      <w:pPr>
        <w:spacing w:after="0" w:line="132" w:lineRule="exact"/>
        <w:rPr>
          <w:sz w:val="20"/>
          <w:szCs w:val="20"/>
          <w:color w:val="auto"/>
        </w:rPr>
      </w:pPr>
    </w:p>
    <w:p>
      <w:pPr>
        <w:sectPr>
          <w:pgSz w:w="11900" w:h="16838" w:orient="portrait"/>
          <w:cols w:equalWidth="0" w:num="2">
            <w:col w:w="4180" w:space="2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2,175,000 common shares.</w:t>
      </w:r>
    </w:p>
    <w:p>
      <w:pPr>
        <w:spacing w:after="0" w:line="118"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335" w:lineRule="auto"/>
        <w:rPr>
          <w:sz w:val="20"/>
          <w:szCs w:val="20"/>
          <w:color w:val="auto"/>
        </w:rPr>
      </w:pPr>
      <w:r>
        <w:rPr>
          <w:rFonts w:ascii="Arial" w:cs="Arial" w:eastAsia="Arial" w:hAnsi="Arial"/>
          <w:sz w:val="15"/>
          <w:szCs w:val="15"/>
          <w:color w:val="auto"/>
        </w:rPr>
        <w:t>We estimate that the net proceeds to us from this offering, after deducting underwriting discounts and commissions and estimated offering expenses payable by us, will be approximately $199.8 million, based on the initial public offering price of $15.00 per common share.</w:t>
      </w:r>
    </w:p>
    <w:p>
      <w:pPr>
        <w:spacing w:after="0" w:line="16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20"/>
        <w:spacing w:after="0" w:line="256" w:lineRule="auto"/>
        <w:rPr>
          <w:sz w:val="20"/>
          <w:szCs w:val="20"/>
          <w:color w:val="auto"/>
        </w:rPr>
      </w:pPr>
      <w:r>
        <w:rPr>
          <w:rFonts w:ascii="Arial" w:cs="Arial" w:eastAsia="Arial" w:hAnsi="Arial"/>
          <w:sz w:val="18"/>
          <w:szCs w:val="18"/>
          <w:color w:val="auto"/>
        </w:rPr>
        <w:t>We intend to use the net proceeds from this offering primarily for the clinical development of our product candidates, relugolix and RVT-602. The remaining proceeds will be used for working capital and general corporate purposes. See the section titled “Use of Proceeds” for additional information.</w:t>
      </w:r>
    </w:p>
    <w:p>
      <w:pPr>
        <w:sectPr>
          <w:pgSz w:w="11900" w:h="16838" w:orient="portrait"/>
          <w:cols w:equalWidth="0" w:num="1">
            <w:col w:w="11240"/>
          </w:cols>
          <w:pgMar w:left="240" w:top="459" w:right="419" w:bottom="1440" w:gutter="0" w:footer="0" w:header="0"/>
          <w:type w:val="continuous"/>
        </w:sectPr>
      </w:pPr>
    </w:p>
    <w:p>
      <w:pPr>
        <w:spacing w:after="0" w:line="1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Controlled company</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Upon the closing of this offering, Roivant Sciences Ltd. will beneficially own a controlling interest in us and we will be a “controlled company” under NYSE rules. As a controlled company, we may elect to avail ourselves of the controlled company exemption under the corporate governance requirements of the NYSE.</w:t>
      </w:r>
    </w:p>
    <w:p>
      <w:pPr>
        <w:spacing w:after="0" w:line="9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You should read the section titled “Risk Factors” for a discussion of factors to consider carefully before deciding to invest in our common shares.</w:t>
      </w:r>
    </w:p>
    <w:p>
      <w:pPr>
        <w:spacing w:after="0" w:line="118"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“MYOV”</w:t>
      </w:r>
    </w:p>
    <w:p>
      <w:pPr>
        <w:spacing w:after="0" w:line="17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firstLine="443"/>
        <w:spacing w:after="0" w:line="298" w:lineRule="auto"/>
        <w:rPr>
          <w:sz w:val="20"/>
          <w:szCs w:val="20"/>
          <w:color w:val="auto"/>
        </w:rPr>
      </w:pPr>
      <w:r>
        <w:rPr>
          <w:rFonts w:ascii="Arial" w:cs="Arial" w:eastAsia="Arial" w:hAnsi="Arial"/>
          <w:sz w:val="16"/>
          <w:szCs w:val="16"/>
          <w:color w:val="auto"/>
        </w:rPr>
        <w:t>Entities affiliated with Pfizer Inc. and BB Biotech AG have each agreed to purchase 2,000,000 of our common shares in this offering at the initial public offering price. The shares purchased by these entities in this offering will be subject to a 180-day lock-up agreement with the underwriters. In October 2016, we and an entity affiliated with Pfizer Inc. entered into a right of first negotiation and board observer agreement. Please see the section titled “Business —Right of First Negotiation and Board Observer Agreement with Pfizer” for information regarding this agreement.</w:t>
      </w:r>
    </w:p>
    <w:p>
      <w:pPr>
        <w:spacing w:after="0" w:line="99"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color w:val="auto"/>
        </w:rPr>
        <w:t>The number of common shares that will be outstanding immediately after this offering is based on 43,590,411 common shares outstanding as of June 30, 2016, and excludes:</w:t>
      </w:r>
    </w:p>
    <w:p>
      <w:pPr>
        <w:spacing w:after="0" w:line="37" w:lineRule="exact"/>
        <w:rPr>
          <w:sz w:val="20"/>
          <w:szCs w:val="20"/>
          <w:color w:val="auto"/>
        </w:rPr>
      </w:pPr>
    </w:p>
    <w:p>
      <w:pPr>
        <w:ind w:left="840" w:right="40" w:hanging="211"/>
        <w:spacing w:after="0" w:line="256"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indeterminate number of capital shares that may be issued after the closing of this offering pursuant to a warrant we issued to Takeda, which allows Takeda, together with its affiliates, to maintain a 12% ownership interest in us, as determined after such exercise, through April 2017, unless earlier terminated upon a change in control, as further described in the section titled “Certain Relationships and Related Party Transactions— Relationship with Takeda Pharmaceuticals International AG—Warrant;” and</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34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2834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hanging="211"/>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3,384,667 common shares reserved for future issuance under our 2016 Equity Incentive Plan, as amended, of which stock options for an aggregate of 1,175,311 common shares were granted in August and September 2016, as well as any automatic increases in the number of common shares reserved for future issuance under this plan.</w:t>
      </w:r>
    </w:p>
    <w:p>
      <w:pPr>
        <w:spacing w:after="0" w:line="12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Except as otherwise indicated herein, all information in this prospectus, including the number of common shares that will be outstanding after this offering, assumes or gives effect to:</w:t>
      </w:r>
    </w:p>
    <w:p>
      <w:pPr>
        <w:spacing w:after="0" w:line="37" w:lineRule="exact"/>
        <w:rPr>
          <w:sz w:val="20"/>
          <w:szCs w:val="20"/>
          <w:color w:val="auto"/>
        </w:rPr>
      </w:pPr>
    </w:p>
    <w:p>
      <w:pPr>
        <w:ind w:left="840" w:hanging="211"/>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100,000-for-1 stock split effected on April 27, 2016;</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1-for-1.7727 reverse stock split effected on October 18, 2016;</w:t>
      </w:r>
    </w:p>
    <w:p>
      <w:pPr>
        <w:spacing w:after="0" w:line="103" w:lineRule="exact"/>
        <w:rPr>
          <w:rFonts w:ascii="Arial" w:cs="Arial" w:eastAsia="Arial" w:hAnsi="Arial"/>
          <w:sz w:val="18"/>
          <w:szCs w:val="18"/>
          <w:color w:val="auto"/>
        </w:rPr>
      </w:pPr>
    </w:p>
    <w:p>
      <w:pPr>
        <w:jc w:val="both"/>
        <w:ind w:left="840" w:right="200" w:hanging="211"/>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aggregate of 160,273 common shares issued to Takeda in August and September 2016 upon the automatic exercise of a warrant we issued to Takeda at an exercise price of $0.000017727 per share, which was initiated by the grant of stock options for an aggregate of 1,175,311 common shares;</w:t>
      </w:r>
    </w:p>
    <w:p>
      <w:pPr>
        <w:spacing w:after="0" w:line="45" w:lineRule="exact"/>
        <w:rPr>
          <w:rFonts w:ascii="Arial" w:cs="Arial" w:eastAsia="Arial" w:hAnsi="Arial"/>
          <w:sz w:val="18"/>
          <w:szCs w:val="18"/>
          <w:color w:val="auto"/>
        </w:rPr>
      </w:pPr>
    </w:p>
    <w:p>
      <w:pPr>
        <w:jc w:val="both"/>
        <w:ind w:left="840" w:right="20" w:hanging="211"/>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an additional 1,977,269 common shares to Takeda upon the closing of this offering pursuant to the automatic exercise of a warrant we issued to Takeda, based upon the sale and issuance of 14,500,000 common shares to investors in this offering at the initial public offering price of $15.00 per common share;</w:t>
      </w:r>
    </w:p>
    <w:p>
      <w:pPr>
        <w:spacing w:after="0" w:line="45" w:lineRule="exact"/>
        <w:rPr>
          <w:rFonts w:ascii="Arial" w:cs="Arial" w:eastAsia="Arial" w:hAnsi="Arial"/>
          <w:sz w:val="18"/>
          <w:szCs w:val="18"/>
          <w:color w:val="auto"/>
        </w:rPr>
      </w:pPr>
    </w:p>
    <w:p>
      <w:pPr>
        <w:ind w:left="840" w:right="440" w:hanging="211"/>
        <w:spacing w:after="0" w:line="325"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an additional 2,175,000 common shares and no issuance of an additional 296,593 common shares to Takeda as a result thereof, pursuant to the automatic exercise of a warrant we issued to Takeda; and</w:t>
      </w:r>
    </w:p>
    <w:p>
      <w:pPr>
        <w:spacing w:after="0" w:line="1" w:lineRule="exact"/>
        <w:rPr>
          <w:rFonts w:ascii="Arial" w:cs="Arial" w:eastAsia="Arial" w:hAnsi="Arial"/>
          <w:sz w:val="16"/>
          <w:szCs w:val="16"/>
          <w:color w:val="auto"/>
        </w:rPr>
      </w:pPr>
    </w:p>
    <w:p>
      <w:pPr>
        <w:ind w:left="840" w:hanging="211"/>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amended and restated bye-laws immediately prior to the closing of this offering.</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4"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following tables set forth our summary consolidated statement of operations data for the periods indicated. We derived the consolidated statement of operations data for the period from February 2, 2016 (date of inception) through March 31, 2016 from our audited consolidated financial statements appearing elsewhere in this prospectus. Our consolidated statement of operations data for the three months ended June 30, 2016 and the consolidated balance sheet data as of June 30, 2016 are derived from our unaudited consolidated financial statements appearing elsewhere in this prospectus. We have prepared the unaudited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to be expected in the future, and our operating results for the period ended March 31, 2016 and the three months ended June 30, 2016 are not indicative of the results that may be expected for a full fiscal year or any other future period. You should read this summary consolidated financial data below, together with our consolidated financial statements and related notes thereto appearing elsewhere in this prospectus, as well as the sections titled “Selected Consolidated Financial Data” and “Management’s Discussion and Analysis of Financial Condition and Results of Operations.” Our fiscal year ends on March 31.</w:t>
      </w:r>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 2016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(Date of</w:t>
            </w:r>
          </w:p>
        </w:tc>
        <w:tc>
          <w:tcPr>
            <w:tcW w:w="10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5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March 31, 2016</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June 30, 2016</w:t>
            </w:r>
          </w:p>
        </w:tc>
        <w:tc>
          <w:tcPr>
            <w:tcW w:w="0" w:type="dxa"/>
            <w:vAlign w:val="bottom"/>
          </w:tcPr>
          <w:p>
            <w:pPr>
              <w:spacing w:after="0"/>
              <w:rPr>
                <w:sz w:val="1"/>
                <w:szCs w:val="1"/>
                <w:color w:val="auto"/>
              </w:rPr>
            </w:pPr>
          </w:p>
        </w:tc>
      </w:tr>
      <w:tr>
        <w:trPr>
          <w:trHeight w:val="196"/>
        </w:trPr>
        <w:tc>
          <w:tcPr>
            <w:tcW w:w="8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14,573,014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1,656,788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2,561,878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1,656,788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17,134,892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the fair value of the warrant liability</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(1,832,543)</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440"/>
              <w:spacing w:after="0"/>
              <w:rPr>
                <w:sz w:val="20"/>
                <w:szCs w:val="20"/>
                <w:color w:val="auto"/>
              </w:rPr>
            </w:pPr>
            <w:r>
              <w:rPr>
                <w:rFonts w:ascii="Arial" w:cs="Arial" w:eastAsia="Arial" w:hAnsi="Arial"/>
                <w:sz w:val="18"/>
                <w:szCs w:val="18"/>
                <w:color w:val="auto"/>
              </w:rPr>
              <w:t>Loss before provision for income tax</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(1,656,788)</w:t>
            </w:r>
          </w:p>
        </w:tc>
        <w:tc>
          <w:tcPr>
            <w:tcW w:w="1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(18,967,435)</w:t>
            </w: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(1,656,788)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(18,970,489)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share—basic and diluted(1)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outstanding—basic and diluted(1)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37,231,342</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40,771,548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common share—basic and diluted (unaudited)(2)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shares outstanding—basic and diluted (unaudited)(2)</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42,748,817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7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hanging="423"/>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2[J] to our consolidated financial statements for an explanation of the method used to compute basic and diluted net loss per common share.</w:t>
      </w:r>
    </w:p>
    <w:p>
      <w:pPr>
        <w:spacing w:after="0" w:line="38" w:lineRule="exact"/>
        <w:rPr>
          <w:rFonts w:ascii="Arial" w:cs="Arial" w:eastAsia="Arial" w:hAnsi="Arial"/>
          <w:sz w:val="16"/>
          <w:szCs w:val="16"/>
          <w:color w:val="auto"/>
        </w:rPr>
      </w:pPr>
    </w:p>
    <w:p>
      <w:pPr>
        <w:ind w:left="620" w:right="640" w:hanging="423"/>
        <w:spacing w:after="0" w:line="261"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Note 1[C] to our consolidated financial statements for an explanation of the method used to compute basic and diluted pro forma net loss per common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As of June 30, 2016</w:t>
            </w:r>
          </w:p>
        </w:tc>
      </w:tr>
      <w:tr>
        <w:trPr>
          <w:trHeight w:val="129"/>
        </w:trPr>
        <w:tc>
          <w:tcPr>
            <w:tcW w:w="2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Pro Forma</w:t>
            </w:r>
          </w:p>
        </w:tc>
        <w:tc>
          <w:tcPr>
            <w:tcW w:w="320" w:type="dxa"/>
            <w:vAlign w:val="bottom"/>
            <w:gridSpan w:val="2"/>
          </w:tcPr>
          <w:p>
            <w:pPr>
              <w:spacing w:after="0"/>
              <w:rPr>
                <w:sz w:val="11"/>
                <w:szCs w:val="11"/>
                <w:color w:val="auto"/>
              </w:rPr>
            </w:pPr>
          </w:p>
        </w:tc>
      </w:tr>
      <w:tr>
        <w:trPr>
          <w:trHeight w:val="149"/>
        </w:trPr>
        <w:tc>
          <w:tcPr>
            <w:tcW w:w="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Adjusted(1)</w:t>
            </w:r>
          </w:p>
        </w:tc>
      </w:tr>
      <w:tr>
        <w:trPr>
          <w:trHeight w:val="161"/>
        </w:trPr>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Actual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20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4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Cash</w:t>
            </w:r>
          </w:p>
        </w:tc>
        <w:tc>
          <w:tcPr>
            <w:tcW w:w="4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$199,775,000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523,681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199,775,000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9,121,775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9,121,775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6"/>
              </w:rPr>
              <w:t>(20,627,277)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(52,690,407)</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w w:val="95"/>
              </w:rPr>
              <w:t>(8,598,094)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190,653,225</w:t>
            </w:r>
          </w:p>
        </w:tc>
        <w:tc>
          <w:tcPr>
            <w:tcW w:w="200" w:type="dxa"/>
            <w:vAlign w:val="bottom"/>
          </w:tcPr>
          <w:p>
            <w:pPr>
              <w:spacing w:after="0"/>
              <w:rPr>
                <w:sz w:val="19"/>
                <w:szCs w:val="19"/>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59"/>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00" w:type="dxa"/>
            <w:vAlign w:val="bottom"/>
          </w:tcPr>
          <w:p>
            <w:pPr>
              <w:jc w:val="right"/>
              <w:ind w:right="25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93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423"/>
        <w:spacing w:after="0" w:line="305" w:lineRule="auto"/>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pro forma as adjusted balance sheet data gives effect to: (1) the issuance and sale of 14,500,000 common shares in this offering at the initial public offering price of $15.00 per common share, after deducting underwriting discounts and commissions and estimated offering expenses payable by us;</w:t>
      </w:r>
    </w:p>
    <w:p>
      <w:pPr>
        <w:ind w:left="620"/>
        <w:spacing w:after="0" w:line="281" w:lineRule="auto"/>
        <w:rPr>
          <w:rFonts w:ascii="Arial" w:cs="Arial" w:eastAsia="Arial" w:hAnsi="Arial"/>
          <w:sz w:val="15"/>
          <w:szCs w:val="15"/>
          <w:color w:val="auto"/>
        </w:rPr>
      </w:pPr>
      <w:r>
        <w:rPr>
          <w:rFonts w:ascii="Arial" w:cs="Arial" w:eastAsia="Arial" w:hAnsi="Arial"/>
          <w:sz w:val="16"/>
          <w:szCs w:val="16"/>
          <w:color w:val="auto"/>
        </w:rPr>
        <w:t>(2) an aggregate of 160,273 common shares issued to Takeda in August and September 2016 upon the automatic exercise of a warrant we issued to Takeda at an exercise price of $0.000017727 per share, which was initiated by the grant of stock options for an aggregate of 1,175,311 common shares; and (3) the issuance of an additional 1,977,269 common shares to Takeda upon the closing of this offering pursuant to the automatic exercise of a warrant we issued to Takeda, based upon the sale and issuance of 14,500,000 common shares to investors in this offering at the initial public offering price of $15.00 per common share. The foregoing issuances to Takeda will increase both accumulated deficit and additional paid-in capital by $32,063,130 (calculated by multiplying an aggregate of 2,137,542 common shares by the initial public offering price of $15.00 per common share).</w:t>
      </w:r>
    </w:p>
    <w:p>
      <w:pPr>
        <w:spacing w:after="0" w:line="4" w:lineRule="exact"/>
        <w:rPr>
          <w:rFonts w:ascii="Arial" w:cs="Arial" w:eastAsia="Arial" w:hAnsi="Arial"/>
          <w:sz w:val="15"/>
          <w:szCs w:val="15"/>
          <w:color w:val="auto"/>
        </w:rPr>
      </w:pPr>
    </w:p>
    <w:p>
      <w:pPr>
        <w:ind w:left="620" w:right="200" w:hanging="423"/>
        <w:spacing w:after="0" w:line="261"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are comprised solely of deferred initial public offering costs of $523,681, which, upon the closing of this offering, will be reclassified to additional paid-in capital.</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together with the other information contained in this prospectus, including our consolidated financial statements and the related notes appearing at the end of this prospectus, before making your decision to invest in our common shares. We cannot assure you that any of the events discussed in the risk factors below will not occur. These risks could have a material and adverse impact on our business, results of operations, financial condition and cash flows and if so our future prospects would likely be materially and adversely affected. If any of such events were to happen, the trading price of our common shares could decline, and you could lose all or part of your investment.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Capital Requirements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clinical-stage biopharmaceutical company with a limited operating history. We were formed in February 2016, and our operations to date have been limited to organizing and staffing our company, acquiring worldwide rights, excluding Japan and certain other Asian countries, to relugolix, and worldwide rights to RVT-602 and preparing for and advancing our product candidates into clinical development. We have not yet demonstrated an ability to successfully complete a large-scale, pivotal clinical trial, obtain marketing approval, manufacture a commercial scale product, or arrange for a third party to do so on our behalf, or conduct sales and marketing activities necessary for successful product commercialization. Consequently, we have no meaningful operations upon which to evaluate our business and predictions about our future success or viability may not be as accurate as they could be if we had a longer operating history or a history of successfully developing and commercializing pharmaceutical products.</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generate product revenue and become profitable depends upon our ability to successfully complete the development of our product candidates, relugolix, for the treatment of heavy menstrual bleeding associated with uterine fibroids, endometriosis-related pain and advanced prostate cancer and RVT-602, for the treatment of female infertility as part of assisted reproduction and obtain the necessary regulatory approvals for their commercialization. We have never been profitable, have no products approved for commercial sale and to date have not generated any product revenue.</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Even if we receive regulatory approval for the sale of relugolix or RVT-602, we do not know when relugolix or RVT-602 will generate product revenue, if at all. Our ability to generate product revenue depends on a number of factors, including our ability to:</w:t>
      </w:r>
    </w:p>
    <w:p>
      <w:pPr>
        <w:spacing w:after="0" w:line="3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clinical trials and obtain regulatory approval for the marketing of relugolix and RVT-602;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an acceptable price for relugolix and RVT-602 and obtain coverage and adequate reimbursement from third-party payors;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and distribution systems for relugolix and RVT-602;</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clinical, manufacturing and planned future commercialization efforts and operations as a public company;</w:t>
      </w:r>
    </w:p>
    <w:p>
      <w:pPr>
        <w:spacing w:after="0" w:line="37"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continue relationships with third-party manufacturers and have commercial quantities of relugolix and RVT-602 manufactured at acceptable cost levels;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an experienced management and advisory team;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broad market acceptance of our products in the medical community and with third party payors and consumers;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commercial sales of our products, whether alone or in collaboration with others;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Because of the numerous risks and uncertainties associated with product development, we are unable to predict the timing or amount of increased expenses, or when, or if, we will be able to achieve or maintain profitability. Our expenses could increase beyond expectations if we are required by the U.S. Food and Drug Administration, or the FDA, and comparable non-U.S. regulatory authorities, to perform studies or clinical trials in addition to those that we currently anticipate.</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Even if relugolix or RVT-602 is approved for commercial sale, we anticipate incurring significant costs associated with the commercial launch of this product. If we cannot successfully execute any one of the foregoing, our business may not succeed and your investment will be adversely affected.</w:t>
      </w:r>
    </w:p>
    <w:p>
      <w:pPr>
        <w:spacing w:after="0" w:line="79" w:lineRule="exact"/>
        <w:rPr>
          <w:sz w:val="20"/>
          <w:szCs w:val="20"/>
          <w:color w:val="auto"/>
        </w:rPr>
      </w:pPr>
    </w:p>
    <w:p>
      <w:pPr>
        <w:ind w:left="240" w:right="640"/>
        <w:spacing w:after="0" w:line="325" w:lineRule="auto"/>
        <w:rPr>
          <w:sz w:val="20"/>
          <w:szCs w:val="20"/>
          <w:color w:val="auto"/>
        </w:rPr>
      </w:pPr>
      <w:r>
        <w:rPr>
          <w:rFonts w:ascii="Arial" w:cs="Arial" w:eastAsia="Arial" w:hAnsi="Arial"/>
          <w:sz w:val="16"/>
          <w:szCs w:val="16"/>
          <w:b w:val="1"/>
          <w:bCs w:val="1"/>
          <w:i w:val="1"/>
          <w:iCs w:val="1"/>
          <w:color w:val="auto"/>
        </w:rPr>
        <w:t>We expect to incur significant losses for the foreseeable future and may never achieve or maintain profitability. Our independent registered public accounting firm has expressed substantial doubt about our ability to continue as a going concern.</w:t>
      </w:r>
    </w:p>
    <w:p>
      <w:pPr>
        <w:spacing w:after="0" w:line="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Investment in pharmaceutical product development is highly speculative because it entails substantial upfront capital expenditures and significant risk that a product candidate will fail to gain regulatory approval or become commercially viable. We have never generated any product revenue, and we cannot estimate with precision the extent of our future losses. We do not currently have any products that are available for commercial sale and we may never generate product revenue or achieve profitability. We expect to continue to incur substantial and increasing losses through the projected commercialization of relugolix and RVT-</w:t>
      </w:r>
    </w:p>
    <w:p>
      <w:pPr>
        <w:spacing w:after="0" w:line="3" w:lineRule="exact"/>
        <w:rPr>
          <w:sz w:val="20"/>
          <w:szCs w:val="20"/>
          <w:color w:val="auto"/>
        </w:rPr>
      </w:pPr>
    </w:p>
    <w:p>
      <w:pPr>
        <w:ind w:right="40" w:firstLine="8"/>
        <w:spacing w:after="0" w:line="286" w:lineRule="auto"/>
        <w:tabs>
          <w:tab w:leader="none" w:pos="3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relugolix nor RVT-602 has been approved for marketing in the United States and may never receive such approval. As a result, we are uncertain when or if we will achieve profitability and, if so, whether we will be able to sustain it. Our ability to generate product revenue and achieve profitability is dependent on our ability to complete the development of relugolix and RVT-602, obtain necessary regulatory approvals, and have relugolix and RVT-602 manufactured and successfully marketed. We cannot assure you that we will be profitable even if we successfully commercialize relugolix or RVT-602. If we do successfully obtain regulatory approval to market relugolix or RVT-602, our revenue will be dependent, in part, upon, among other things, the size of the markets in the territories for which we gain regulatory approval, the number of competitors in such markets, the accepted price for relugolix and RVT-602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relugolix or RVT-602, even if approved. Even if we do achieve profitability, we may not be able to sustain or increase profitability on a quarterly or annual basis. Failure to become and remain profitable may adversely affect the market price of our common shares and our ability to raise capital and continue operations. As of June 30, 2016, we had an accumulated deficit of $20.6 million.</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our research and development expenses to be significant in connection with our development programs for relugolix and RVT-602. In addition, if we obtain regulatory approval for either relugolix or RVT-602, we expect to incur increased sales and marketing expenses. As a result, we expect to continue to incur significant and increasing operating losses and negative cash flows for the foreseeable future. These losses have had and will continue to have an adverse effect on our financial position and working capital.</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auditors have issued a going concern opinion on our consolidated financial statements as of March 31, 2016 and for the period from February 2, 2016 (date of inception) to March 31, 2016, expressing substantial doubt that we can continue as an ongoing business due to insufficient capital for us to fund our operations. Our consolidated financial statements do not include any adjustments that may result from the outcome of this uncertainty. If we are unable to successfully complete this offering, we will need to create alternate financing or operational plans to continue as a going concern.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20"/>
        <w:spacing w:after="0" w:line="347" w:lineRule="auto"/>
        <w:rPr>
          <w:sz w:val="20"/>
          <w:szCs w:val="20"/>
          <w:color w:val="auto"/>
        </w:rPr>
      </w:pPr>
      <w:r>
        <w:rPr>
          <w:rFonts w:ascii="Arial" w:cs="Arial" w:eastAsia="Arial" w:hAnsi="Arial"/>
          <w:sz w:val="15"/>
          <w:szCs w:val="15"/>
          <w:b w:val="1"/>
          <w:bCs w:val="1"/>
          <w:i w:val="1"/>
          <w:iCs w:val="1"/>
          <w:color w:val="auto"/>
        </w:rPr>
        <w:t>We are heavily dependent on the success of relugolix and RVT-602, our only product candidates, which are still under clinical development, and if relugolix or RVT-602 does not receive regulatory approval or is not successfully commercialized, our business may be harmed.</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have no products that are approved for commercial sale and may never be able to develop marketable products. We expect that a substantial portion of our efforts and expenditures over the next few years will be devoted to the advancement of relugolix and RVT-602. Accordingly, our business currently depends heavily on the successful development, regulatory approval and commercialization of these product candidates. We cannot be certain that relugolix or RVT-602 will receive regulatory approval or be successfully commercialized even if we receive regulatory approval. The research, testing, manufacturing, labeling, approval, sale, marketing and distribution of products are and will remain subject to extensive regulation by the FDA and other regulatory authorities in the United States and other countries that each have differing regulations. We are not permitted to market relugolix or RVT-602 in the United States until we receive approval of a new drug application, or NDA, for each, or in any foreign country until they receive the requisite approvals from the appropriate authority in such county. We have not submitted an NDA to the FDA, or any comparable application to any other regulatory authority and do not expect to be in a position to do so for the foreseeable future. Prior to commencing our planned Phase 3 program for the treatment of heavy menstrual bleeding associated with uterine fibroids, we will need to submit our investigational new drug application, or IND, to the FDA, which we expect to occur in 2016. We completed an End of Phase 2 meeting with the FDA for relugolix for this indication in early October 2016. Prior to commencing our planned Phase 3 program for the treatment of endometriosis-associated pain, we will need to complete the End of Phase 2 meeting with the FDA, which we expect to occur in the first quarter of 2017.</w:t>
      </w:r>
    </w:p>
    <w:p>
      <w:pPr>
        <w:spacing w:after="0" w:line="11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Obtaining approval of an NDA or similar regulatory approval is an extensive, lengthy, expensive and inherently uncertain process, and the FDA or other foreign regulatory authority may delay, limit or deny approval of relugolix or RVT-602 for many reasons, including:</w:t>
      </w:r>
    </w:p>
    <w:p>
      <w:pPr>
        <w:spacing w:after="0" w:line="37" w:lineRule="exact"/>
        <w:rPr>
          <w:sz w:val="20"/>
          <w:szCs w:val="20"/>
          <w:color w:val="auto"/>
        </w:rPr>
      </w:pPr>
    </w:p>
    <w:p>
      <w:pPr>
        <w:ind w:left="660" w:right="1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relugolix or RVT-602 is effective as a treatment for our target indications to the satisfaction of the FDA or other relevant regulatory authority;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relevant regulatory authority may require additional clinical trials, which would increase our costs and prolong our development;</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relevant regulatory authority for marketing approval;</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FDA or other relevant regulatory authority may disagree with the number, design, size, conduct or implementation of our clinical trials;</w:t>
      </w:r>
    </w:p>
    <w:p>
      <w:pPr>
        <w:spacing w:after="0" w:line="126" w:lineRule="exact"/>
        <w:rPr>
          <w:rFonts w:ascii="Arial" w:cs="Arial" w:eastAsia="Arial" w:hAnsi="Arial"/>
          <w:sz w:val="16"/>
          <w:szCs w:val="16"/>
          <w:color w:val="auto"/>
        </w:rPr>
      </w:pPr>
    </w:p>
    <w:p>
      <w:pPr>
        <w:ind w:left="660" w:right="2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not find the data from preclinical studies and clinical trials sufficient to demonstrate that the clinical and other benefits of these products outweigh their safety risks;</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disagree with our interpretation of data from our preclinical studies and clinical trials or may require that we conduct additional studies;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not accept data generated at our clinical trial sites;</w:t>
      </w:r>
    </w:p>
    <w:p>
      <w:pPr>
        <w:spacing w:after="0" w:line="103" w:lineRule="exact"/>
        <w:rPr>
          <w:rFonts w:ascii="Arial" w:cs="Arial" w:eastAsia="Arial" w:hAnsi="Arial"/>
          <w:sz w:val="18"/>
          <w:szCs w:val="18"/>
          <w:color w:val="auto"/>
        </w:rPr>
      </w:pPr>
    </w:p>
    <w:p>
      <w:pPr>
        <w:ind w:left="660" w:right="100" w:hanging="206"/>
        <w:spacing w:after="0" w:line="29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our NDA or other foreign application is reviewed by an advisory committee, the FDA or other relevant regulatory authority, as the case may be, may have difficulties scheduling an advisory committee meeting in a timely manner or the advisory committee may recommend against approval of our application(s) or may recommend that the FDA or other relevant regulatory authority, as the case may be, require, as a condition of approval, additional preclinical studies or clinical trials, limitations on approved labeling or distribution and use restrictions;</w:t>
      </w:r>
    </w:p>
    <w:p>
      <w:pPr>
        <w:spacing w:after="0" w:line="18"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require development of a risk evaluation and mitigation strategy, or REMS, or its equivalent, as a condition of approval;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other relevant regulatory authority may identify deficiencies in the manufacturing processes or facilities of our third-party manufacturers;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change its approval policies or adopt new regulations.</w:t>
      </w:r>
    </w:p>
    <w:p>
      <w:pPr>
        <w:spacing w:after="0" w:line="185"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If we are unable to formulate a fixed-dose combination version of relugolix with low-dose estradiol and progestin, the development of relugolix may be delayed and its commercial opportunity could be limited.</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key part of our relugolix clinical development strategy is to formulate a fixed-dose combination with add-back low-dose estradiol and progestin in order to facilitate patient convenience and compliance and minimize side effects. If we are unsuccessful in our attempts to formulate a fixed-dose combination, we expect to instead seek approval for relugolix as monotherapy to be co-administered with commercially available low-dose estradiol and progestin. This would decrease our advantages relative to our competition by requiring patients to take two pills once daily instead of just one pill once daily. If our competitors develop a fixed-dose combination with hormone add-back therapy, and we are unable to do so, then we would be at a competitive disadvantage and this could limit our commercial opportunity. We are not aware of any barriers preventing competitors from developing or achieving regulatory approval of a fixed-dose combination.</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we plan to conduct Phase 3 clinical trials of relugolix in our target women’s health indications with separate administration of relugolix and commercially available low-dose estradiol and progestin products, we intend to conduct bridging studies to support the submission of NDAs for the proposed fixed-dose combination for each of our target women’s health indications. Any such bridging study may be unsuccessful or insufficient to support approval of the fixed-dose combination formulation, which would delay and increase the expenses associated with our development program and limit our commercial opportunity.</w:t>
      </w:r>
    </w:p>
    <w:p>
      <w:pPr>
        <w:spacing w:after="0" w:line="12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will require additional capital to fund our operations, and if we fail to obtain necessary financing, we may not be able to complete the development and commercialization of relugolix or RVT-602.</w:t>
      </w:r>
    </w:p>
    <w:p>
      <w:pPr>
        <w:spacing w:after="0" w:line="3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expect to spend substantial amounts to complete the development of, seek regulatory approvals for and commercialize relugolix and RVT-602. These expenditures will include costs associated with our license agreement with Takeda. Under the terms of this agreement, we are obligated to cover substantial development costs of relugolix and RVT-602 and make significant royalty payments in connection with the sale of resulting products.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Even with the net proceeds of this offering, we may require additional capital to complete the development and potential commercialization of our product candidates. If we are unable to raise capital when needed or on acceptable terms, we could be forced to delay, reduce or eliminate our development program or any future commercialization efforts. In addition, attempting to secure additional financing may divert the time and attention of our management from day-to-day activities and harm our product candidate development efforts.</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Based upon our current operating plan, we believe that the net proceeds from this offering will enable us to fund our operating expenses and capital expenditure requirements through unblinding and release of data for at least one of our Phase 3 programs, which we expect to occur in 2019. This estimate is based on assumptions that may prove to be wrong, and we could use our available capital resources sooner than we currently expect. Because the length of time and activities associated with successful development of relugolix and RVT-602 are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2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our planned clinical trials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and other comparable foreign regulatory authorities;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the products or any future product candidates;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the products in regions where we choose to commercialize our products on our own;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and results of our commercialization of our product candidates, if approved for commercial sale.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spacing w:after="0" w:line="127"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and raising funds through lending and licensing arrangements may restrict our operations or require us to relinquish proprietary rights.</w:t>
      </w:r>
    </w:p>
    <w:p>
      <w:pPr>
        <w:spacing w:after="0" w:line="3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Until such time, if ever, as we can generate substantial product revenue, we expect to finance our cash needs through a combination of equity offerings, debt financings, strategic alliances and license and development agreements in connection with any collaborations. We do not have any committed external source of funds.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 Debt financing and preferred equity financing, if available, may involve the entry into agreements that include covenants limiting or restricting our ability to take specific actions, such as incurring additional debt, making capital expenditures or declaring dividends.</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develop and market ourselves.</w:t>
      </w:r>
    </w:p>
    <w:p>
      <w:pPr>
        <w:spacing w:after="0" w:line="129"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We rely on our agreements with Takeda to provide rights to the core intellectual property relating to our existing product candidates and to supply us with clinical trial material to support development of relugolix. Any termination or loss of significant rights under those agreements would adversely affect our development or commercialization of relugolix and RVT-602.</w:t>
      </w:r>
    </w:p>
    <w:p>
      <w:pPr>
        <w:spacing w:after="0" w:line="4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licensed the intellectual property rights covering our current product candidates, relugolix and RVT-602, from Takeda pursuant to the April 2016 license agreement between us and Takeda. If, for any reason, our license agreement is terminated or we otherwise lose those rights, it would adversely affect our business. Our license agreement with Takeda imposes on us obligations relating to exclusivity, territorial rights, development, commercialization, funding, payment, diligence, sublicensing, insurance, intellectual property protection and other matters. If we breach any material obligations, or use the intellectual property licensed to us in an unauthorized manner, we may be required to pay damages to Takeda and Takeda may have the right to terminate our license, which would result in us being unable to develop, manufacture and sell relugolix and RVT-602.</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license agreement, we and a Takeda affiliate have entered into an agreement for the manufacture and supply of relugolix. Under this agreement, we are required to obtain from Takeda’s affiliate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of our requirements for relugolix drug substance and drug product to be used under our development plan. The agreement also provides for Takeda’s affiliate to reasonably assist us with a technical transfer of the manufacturing process for relugolix to us or our designee. If Takeda’s affiliate fails to fulfill its obligations under this agreement to manufacture and supply relugolix to us or to enable the transfer of the manufacturing process for relugolix to us or our designee, our development of relugolix could be significantly delayed or otherwise adversely affected.</w:t>
      </w:r>
    </w:p>
    <w:p>
      <w:pPr>
        <w:spacing w:after="0" w:line="99"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currently have nine employees who are employed by our wholly-owned subsidiary, Myovant Sciences, Inc., and we rely on Roivant Sciences, Inc. to provide various administrative, research and development and other services.</w:t>
      </w:r>
    </w:p>
    <w:p>
      <w:pPr>
        <w:spacing w:after="0" w:line="37"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As of September 30, 2016, we had no employees, and our wholly-owned subsidiary, Myovant Sciences, Inc., had nine employees. We rely on the administrative and support and research and development services provided by our affiliate, Roivant Sciences, Inc., a wholly-owned subsidiary of Roivant Sciences Ltd. We and Myovant Sciences, Inc., have entered into a services agreement with Roivant Sciences, Inc. Personnel and support staff that provide services to us under this services agreement are not required to, and we do not expect that they will, have as their primary responsibility the management and administration of our business or act exclusively for us. Under this services agreement, Roivant Sciences, Inc. has the discretion to determine which of its employees will perform services under the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Roivant Sciences, Inc. has limited financing and accounting and other resources. If Roivant Sciences, Inc. fails to perform its obligations in accordance with the terms of the services agreement, it could be difficult for us to operate our business. In addition, the termination of our relationship with Roivant Sciences, Inc. and any delay in appointing or finding a suitable replacement provider (if one exists) could make it difficult for us to operate our business. Any failure by Roivant Sciences, Inc. to effectively manage our administrative, research and development or other services could harm our business, financial condition and results of operations.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will need to expand our organization, and we may experience difficulties in managing this growth, which could disrupt our operations.</w:t>
      </w:r>
    </w:p>
    <w:p>
      <w:pPr>
        <w:spacing w:after="0" w:line="10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As of September 30, 2016, we had no employees, and our wholly-owned subsidiary, Myovant Sciences, Inc., had nine employees. We expect to hire, either directly, through Myovant Sciences, Inc. or through any other current or future subsidiary of ours, additional employees for our managerial, clinical, scientific, operational, sales and marketing teams.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or grow revenue could be reduced, and we may not be able to implement our business strategy. Our future financial performance and our ability to commercialize relugolix or RVT-602 and compete effectively will depend, in part, on our ability to effectively manage any future growth.</w:t>
      </w:r>
    </w:p>
    <w:p>
      <w:pPr>
        <w:spacing w:after="0" w:line="9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Many of the other pharmaceutical companies that we compete against for qualified personnel and consultants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and consultants than what we have to offer. If we are unable to continue to attract and retain high-quality personnel and consultants, the rate and success at which we can discover and develop product candidates and our business will be harmed.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40" w:right="140"/>
        <w:spacing w:after="0" w:line="259"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4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exposed to the risk that our employees and contractors, including principal investigators, consultants, commercial collaborators, service providers and other vendors may engage in fraudulent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standards; federal and state healthcare fraud and abuse and health regulatory laws and other similar foreign fraudulent misconduct laws; or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serious harm to our reputation. It is not always possible to identify and deter third-party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computer systems, as well as those of Roivant Sciences, Inc. and our CROs and other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drug development programs. For example, the loss of preclinical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relugolix or RVT-602 or any future product candidate could be delayed.</w:t>
      </w:r>
    </w:p>
    <w:p>
      <w:pPr>
        <w:spacing w:after="0" w:line="105"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use of relugolix and RVT-602 in clinical trials and the sale of any products for which we obtain marketing approval exposes us to the risk of product liability claims. Product liability claims might be brought against us by consumers, health 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product liability claims may result in:</w:t>
      </w:r>
    </w:p>
    <w:p>
      <w:pPr>
        <w:spacing w:after="0" w:line="48"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participants from our clinical trials;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related litigation;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commercialize our products or any future product candidate;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products or any future product candidate, if approved for commercial sale;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relugolix or RVT-602,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Development, Regulatory Approval and Commercialization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trials are very expensive, time-consuming, difficult to design and implement and involve an uncertain outcome.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 candidates, relugolix and RVT-602, are still in development and will require extensive clinical testing before we are prepared to submit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NDA or other similar application for regulatory approval. Our planned Phase 3 program for the treatment of heavy menstrual bleeding associated with uterine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fibroids is subject to the submission of our IND to the FDA, which we expect to occur in 2016. We completed an End of Phase 2 meeting with the FDA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relugolix for this indication in early October 2016. Our planned Phase 3 program for the treatment of endometriosis-related pain is subject to the completion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 of Phase 2 meeting with the FDA, which we expect to occur in the first quarter of 2017. Further, we cannot predict with any certainty if or when we might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 an NDA for regulatory approval for relugolix or RVT-602 or whether any such application will be approved by the relevant regulatory authority. Human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are very expensive and difficult to design and implement, in part because they are subject to rigorous regulatory requirements. For instance,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may not agree with our proposed endpoints for any clinical trials of relugolix or RVT-602, which may delay the commencement of our clinical trials.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 process is also time-consuming. We estimate that our clinical trials of relugolix and RVT-602 will take at least several years to complete.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Furthermore, failure can occur at any stage of the trials, and we could encounter problems that cause us to abandon or repeat clinical trials. Product candidates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later stages of clinical trials may fail to show the desired safety and efficacy traits despite having progressed through preclinical studies and initial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trials. The results of early clinical trials of relugolix and RVT-602 therefore may not be predictive of the results of our planned development programs. A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companies in the biopharmaceutical industry have suffered significant setbacks in advanced clinical trials due to lack of efficacy or adverse safety profiles,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promising results in earlier trials.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may be delayed by several factors, including:</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obtain regulatory approval to commence a trial;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suitable patients to participate in a trial;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manufacture sufficient quantities of a drug candidate for use in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Further, we, the FDA or an institutional review board, or IRB, or other regulatory authority may suspend our clinical trials at any time if it appears that we or our collaborators are failing to conduct a trial in accordance with regulatory requirements, including, for example, the FDA’s Good Clinical Practice, or GCP, regulations, that we are exposing participants to unacceptable health risks, or if the FDA or other regulatory authority, as the case may be, finds deficiencies in our IND or other submissions or the manner in which the clinical trials are conducted.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relugolix or RVT-602 could be harmed, and our ability to generate product revenue from relugolix or RVT-602 may be delayed. In addition, any delays in our clinical trials could increase our costs, slow down the approval process and jeopardize our ability to commence product sales and generate revenue.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0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addition, because we recently acquired worldwide rights, excluding Japan and certain other Asian countries, to relugolix and worldwide rights to RVT-602, we were not involved in the development of relugolix or RVT-602 prior to April 2016. We may experience difficulties in the transition of this product candidate from Takeda and its affiliates to us, which may result in delays in clinical trials as well as problems in our development efforts and regulatory filings, particularly if we do not receive all of the necessary products, information, reports and data from Takeda and its affiliates in a timely manner. Further, we have had no involvement with or control over the preclinical and clinical development of either relugolix or RVT-602 to date. We are dependent on Takeda having conducted such research and development in accordance with the applicable protocol, legal, regulatory and scientific standards, having accurately reported the results of all clinical trials conducted prior to our acquisition of the rights to relugolix and RVT-602 and having correctly collected and interpreted the data from these trials. To the extent any of these has not occurred, expected development time and costs may be increased which could adversely affect any future revenue from this product candidate.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Reported data or other clinical development announcements by Takeda may adversely affect our clinical development plan.</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Takeda is currently conducting two Phase 3 trials with relugolix in Japan for the treatment of uterine fibroid-associated pain and heavy menstrual bleeding, respectively. If announcements by Takeda are unfavorable with respect to these clinical trials, our clinical development plans may be adversely affected. Further, even if announcements by Takeda are favorable with respect to these clinical trials, our planned Phase 3 clinical trials for relugolix differ from Takeda’s clinical trials and investors should not place undue reliance upon any of Takeda’s reported data or other clinical development announcements.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proposed claims for relugolix or RVT-602.</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Even if our clinical trials are completed as planned, we cannot be certain that their results will support the effectiveness of relugolix or RVT-602. Success in preclinical testing and early clinical trials does not ensure that later clinical trials will be successful, and we cannot be sure that the results of later clinical trials will replicate the results of prior clinical trials and preclinical testing. A number of companies in the pharmaceutical industry, including biotechnology companies, have suffered significant setbacks in clinical trials, even after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The results of preclinical, nonclinical and early clinical studies of our product candidates may not be predictive of the results of later-stage clinical trials. Product candidates in later stages of clinical trials may fail to show the desired safety and efficacy traits despite having progressed through preclinical and initial clinical trials. A failure of a clinical trial to meet its predetermined endpoints would likely cause us to abandon a product candidate and may delay development of any other product candidates. Any delay in, or termination of, our clinical trials will delay the submission of our NDAs to the FDA or other similar applications with other relevant foreign regulatory authorities and, ultimately, our ability to commercialize relugolix and RVT-602 and generate product revenue.</w:t>
      </w:r>
    </w:p>
    <w:p>
      <w:pPr>
        <w:spacing w:after="0" w:line="114"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may encounter delays in enrolling, or be unable to enroll, a sufficient number of patients to complete any of our clinical trials, and even once enrolled we may be unable to retain a sufficient number of patients to complete any of our trials.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study, our ability to obtain and maintain patient consents and the risk that patients enrolled in clinical trials will drop out of the trials before completion. Furthermore,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relugolix and RVT-602,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14"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Drug development is highly competitive and subject to rapid and significant technological advancements. As a significant unmet medical need exists for the treatment of each of uterine fibroids, endometriosis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advanced prostate cancer, as well as infertility in females, there are several large and small pharmaceutical companies focused on delivering therapeutics for the treatment of these indications. Further, it is likely that additional drugs will become available in the future for the treatment of each of them.</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aware of several companies that are working to develop drugs that would compete against relugolix for the treatment of heavy menstrual bleeding associated with uterine fibroids, endometriosis-associated pain and advanced prostate cancer and against RVT-602 for the treatment of female infertility as part of assisted reproduction. For example, AbbVie in conjunction with Neurocrine Biosciences, is developing a GnRH receptor antagonist, elagolix, as an oral treatment for endometriosis-associated pain and for heavy menstrual bleeding associated with uterine fibroids. AbbVie has initiated a Phase 3 program evaluating elagolix with and without hormone add-back therapy in women with heavy menstrual bleeding associated with uterine fibroids, and AbbVie is expected to commence a Phase 3b trial of elagolix in combination with hormone add-back therapy in women with pain associated with endometriosis by the end of 2016. Further, 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product candidate that we may develop.</w:t>
      </w:r>
    </w:p>
    <w:p>
      <w:pPr>
        <w:spacing w:after="0" w:line="127"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We will face competition from other drugs currently approved or that will be approved in the future for the treatment of uterine fibroids, endometriosis and advanced prostate cancer as well as infertility in females. Therefore, our ability to compete successfully will depend largely on our ability to:</w:t>
      </w:r>
    </w:p>
    <w:p>
      <w:pPr>
        <w:spacing w:after="0" w:line="1"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commercialize medicines that are superior to other products in the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through our clinical trials that relugolix or RVT-602 is differentiated from existing and future therapies;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medicines.</w:t>
      </w:r>
    </w:p>
    <w:p>
      <w:pPr>
        <w:spacing w:after="0" w:line="18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Established pharmaceutical companies may invest heavily to accelerate discovery and development of novel compounds or to in-license novel compounds that could make relugolix or RVT-602 less competitive. In addition, any new product that competes with an approved product must demonstrate compelling advantages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efficacy, convenience, tolerability and safety in order to overcome price competition and to be commercially successful. Accordingly, our competitors may succeed in obtaining patent protection, discovering, developing, receiving FDA or other regulatory authority approval for or commercializing medicines before we do, which would have an adverse impact on our business and results of operations.</w:t>
      </w:r>
    </w:p>
    <w:p>
      <w:pPr>
        <w:spacing w:after="0" w:line="127"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we will not be able to commercialize relugolix or RVT-602, and our ability to generate product revenue will be materially impaired.</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Relugolix and RVT-602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relugolix and RVT-602 will prevent us from commercializing them.</w:t>
      </w:r>
    </w:p>
    <w:p>
      <w:pPr>
        <w:spacing w:after="0" w:line="13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have not received approval from regulatory authorities to market any product candidate in any jurisdiction, and it is possible that none of relugolix, RVT-602 or any product candidates we may seek to develop in the future will ever obtain the appropriate regulatory approvals necessary for us to commence product sales. Neither we nor any future collaborator is permitted to market any of our product candidates in the United States until we receive regulatory approval of an NDA from the FDA.</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time required to obtain approval of an NDA by the FDA is unpredictable but typically takes many years following the commencement of clinical trials and depends upon numerous factors, including the substantial discretion of the regulatory authority. Prior to submitting an NDA to the FDA or any comparable application to any other foreign regulatory authorities for approval of relugolix, we will need to complete our planned Phase 3 programs, and for approval of RVT-602, we will need to complete additional Phase 2 and Phase 3 clinical trials. In addition, approval policies, regulations, or the type and amount of clinical data necessary to gain approval may change during the course of a product candidate’s clinical development and may vary among jurisdictions.</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Securing marketing approval requires the submission of extensive preclinical and clinical data and supporting information to regulatory authorities for each therapeutic indication to establish the safety and efficacy of relugolix and RVT-602 for the specified indication. Further, because we are exploring the use of relugolix as a longer-term therapy for the treatment of heavy menstrual bleeding associated with uterine fibroids and of endometriosis-associated pain, we expect to submit data with respect to a large patient population. We expect to rely on third-party CROs and consultants to assist us in filing and supporting the applications necessary to gain marketing approvals. Securing marketing approval also requires the submission of information about the product manufacturing process to, and inspection of manufacturing facilities by, the regulatory authorities.</w:t>
      </w:r>
    </w:p>
    <w:p>
      <w:pPr>
        <w:spacing w:after="0" w:line="107"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Relugolix and RVT-602 may cause adverse effects or have other properties that could delay or prevent their regulatory approval or limit the scope of any approved label or market acceptance.</w:t>
      </w:r>
    </w:p>
    <w:p>
      <w:pPr>
        <w:spacing w:after="0" w:line="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Adverse events caused by relugolix or RVT-602 could cause us, other reviewing entities, clinical trial sites or regulatory authorities to interrupt, delay or halt clinical trials and could result in the denial of regulatory approval. If an unacceptable frequency or severity of adverse events are reported in our clinical trials for relugolix or RVT-602 or any future product candidates, our ability to obtain regulatory approval for such product candidates may be negatively impacted.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Any of these occurrences may harm our business, financial condition and prospects.</w:t>
      </w:r>
    </w:p>
    <w:p>
      <w:pPr>
        <w:spacing w:after="0" w:line="1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Across all relugolix clinical trials, a total of 34 serious adverse events were reported in the more than 1,300 relugolix-treated subjects and patients as of July 10, 2016, of which three were reported by the investigator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possibly related to relugolix, including an event of abnormal liver function tests (moderate grade), one of cerebral infarction (grade unspecified) and one of embolic stroke (grade 2). In addition, concern has been raised by the FDA about a potential increase in the risk of diabetes and certain cardiovascular diseases in men treated with GnRH agonists.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of our product candidates are approved and then cause serious or unexpected side effects, a number of potentially significant negative consequences could result, including:</w:t>
      </w:r>
    </w:p>
    <w:p>
      <w:pPr>
        <w:spacing w:after="0" w:line="37" w:lineRule="exact"/>
        <w:rPr>
          <w:sz w:val="20"/>
          <w:szCs w:val="20"/>
          <w:color w:val="auto"/>
        </w:rPr>
      </w:pPr>
    </w:p>
    <w:p>
      <w:pPr>
        <w:ind w:left="660" w:right="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require a REMS to impose restrictions on its distribution or other risk management measures;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recall a product;</w:t>
      </w:r>
    </w:p>
    <w:p>
      <w:pPr>
        <w:spacing w:after="0" w:line="103"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to conduct additional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elect to discontinue the sale of our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relugolix or RVT-602.</w:t>
      </w:r>
    </w:p>
    <w:p>
      <w:pPr>
        <w:spacing w:after="0" w:line="118"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and even if we obtain approval for a product candidate in one country or jurisdiction, we may never obtain approval for, or commercialize, it in any other jurisdiction, which would limit our ability to realize its full market potential.</w:t>
      </w:r>
    </w:p>
    <w:p>
      <w:pPr>
        <w:spacing w:after="0" w:line="4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Prior to obtaining approval to commercialize a product candidate in any jurisdiction, we or our collaborators must demonstrate with substantial evidence from well-controlled clinical trials, and to the satisfaction of the FDA or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by FDA in the United States does not ensure approval by regulatory authorities in any other country or jurisdiction.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we will still face extensive regulatory requirements and our products may face future development and regulatory difficulties.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GCP requirements for any clinical trials that we conduct post-approval. Even if marketing approval of a product candidate is granted, the approval may be subject to limitations on the indicated uses for which the product may be marketed or to the conditions of approval, including any requirement to implement a REMS. If relugolix or RVT-602 receives marketing approval, the accompanying label may limit the approved use of our drug, which could limit sales of the product.</w:t>
      </w:r>
    </w:p>
    <w:p>
      <w:pPr>
        <w:spacing w:after="0" w:line="10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FDA or other regulatory authority may also impose requirements for costly post-marketing studies or clinical trials and surveillance to monitor the safety or efficacy of the product. Regulatory authorities closely regulate the post-approval marketing and promotion of drugs to ensure drugs are marketed only for the approved indications and in accordance with the provisions of the approved labeling. Regulatory authorities impose stringent restrictions on manufacturers’ communications regarding off-label use and if we do not market our products for their approved indications, we may be subject to enforcement action for off-label marketing. Violations of the Federal Food, Drug, and Cosmetic Act relating to the promotion of prescription drugs may lead to enforcement actions and investigations by the FDA, Department of Justice, and other regulatory agencies alleging violations of federal and state health care fraud and abuse laws, as well as state consumer protection laws.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FDA and other regulatory authorities’ policies may change and additional government regulations may be enacted that could prevent, limit or delay regulatory approval of relugolix or RVT-602 or any future product candidate.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w:t>
      </w:r>
    </w:p>
    <w:p>
      <w:pPr>
        <w:spacing w:after="0" w:line="12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market acceptance by physicians, patients, third-party payors or others in the medical community necessary for commercial success.</w:t>
      </w:r>
    </w:p>
    <w:p>
      <w:pPr>
        <w:spacing w:after="0" w:line="3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If one of our product candidates receives marketing approval, it may nonetheless fail to gain sufficient market acceptance by physicians, patients, third-party payors and others in the medical community. If it does not achieve an adequate level of acceptance, we may not generate significant product revenue and become profitable. The degree of market acceptance of a product candidate, if approved for commercial sale, will depend on a number of factors, including but not limited to:</w:t>
      </w:r>
    </w:p>
    <w:p>
      <w:pPr>
        <w:spacing w:after="0" w:line="49"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 together with other medications.</w:t>
      </w:r>
    </w:p>
    <w:p>
      <w:pPr>
        <w:spacing w:after="0" w:line="1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Because we expect sales of relugolix and RVT-602, if approved, to generate substantially all of our product revenue for the foreseeable future, the failure of either of these product candidates to find market acceptance would harm our business and could require us to seek additional financing.</w:t>
      </w:r>
    </w:p>
    <w:p>
      <w:pPr>
        <w:spacing w:after="0" w:line="72"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our product candidates, if approved.</w:t>
      </w:r>
    </w:p>
    <w:p>
      <w:pPr>
        <w:spacing w:after="0" w:line="3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do not have any infrastructure for the sales, marketing or distribution of our products,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 To achieve commercial success for any product for which we obtain marketing approval, we will need a sales and marketing organization.</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build a focused sales, distribution and marketing infrastructure to market our product candidates in the United States,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its commercialization. For example, if the commercial launch of relugolix or RVT-602,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77"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attain adequate numbers of physicians to prescribe any drugs;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8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do not anticipate having the resources in the foreseeable future to allocate to the sales and marketing of our product candidates in certain markets overseas. Therefore, our future success will depend, in part, on our ability to enter into and maintain collaborative relationships for such capabilities, the collaborator’s strategic interest in a product and such collaborator’s ability to successfully market and sell the product. We intend to pursue collaborative arrangements regarding the sale and marketing of our product candidates, if approved, for certain markets overseas; however, we cannot assure you that we will be able to establish or maintain such collaborative arrangements, or if able to do so, that they will have effective sales forces. To the extent that we depend on third parties for marketing and distribution, any revenue we receive will depend upon the efforts of such third parties, and there can be no assurance that such efforts will be successful.</w:t>
      </w:r>
    </w:p>
    <w:p>
      <w:pPr>
        <w:spacing w:after="0" w:line="13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are unable to build our own sales force or negotiate a collaborative relationship for the commercialization of our product candidates we may be forced to delay their potential commercialization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reduce the scope of our sales or marketing activities for them. If we elect to increase our expenditures to fund commercialization activities ourselves, we will need to obtain additional capital, which may not be available to us on acceptable terms, or at all. If we do not have sufficient funds, we will not be able to bring our product candidates to market or generate product revenue. We could enter into arrangements with collaborative partners or otherwise at an earlier stage than otherwise would be ideal and we may be required to relinquish rights to our product candidates or otherwise agree to terms unfavorable to us, any of which may have an adverse effect on our business, operating results and prospects.</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30"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materially adversely affect our business.</w:t>
      </w:r>
    </w:p>
    <w:p>
      <w:pPr>
        <w:spacing w:after="0" w:line="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either relugolix or RVT-602 is approved for commercialization, we intend to enter into agreements with third parties to market it in certain jurisdictions outside the United States. We expect that we will be subject to additional risks related to international operations or entering into international business relationships, including:</w:t>
      </w:r>
    </w:p>
    <w:p>
      <w:pPr>
        <w:spacing w:after="0" w:line="46"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 prior experience in these areas, and many biopharmaceutical companies have found the process of marketing their products in foreign countries to be very challenging.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products for which we obtain marketing approval. Such laws include, among others:</w:t>
      </w:r>
    </w:p>
    <w:p>
      <w:pPr>
        <w:spacing w:after="0" w:line="49" w:lineRule="exact"/>
        <w:rPr>
          <w:sz w:val="20"/>
          <w:szCs w:val="20"/>
          <w:color w:val="auto"/>
        </w:rPr>
      </w:pPr>
    </w:p>
    <w:p>
      <w:pPr>
        <w:ind w:left="660" w:right="60" w:hanging="206"/>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5" w:lineRule="exact"/>
        <w:rPr>
          <w:rFonts w:ascii="Arial" w:cs="Arial" w:eastAsia="Arial" w:hAnsi="Arial"/>
          <w:sz w:val="16"/>
          <w:szCs w:val="16"/>
          <w:color w:val="auto"/>
        </w:rPr>
      </w:pPr>
    </w:p>
    <w:p>
      <w:pPr>
        <w:ind w:left="660" w:hanging="206"/>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civil False Claims Act;</w:t>
      </w:r>
    </w:p>
    <w:p>
      <w:pPr>
        <w:spacing w:after="0" w:line="49"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in order to have committed a violation;</w:t>
      </w:r>
    </w:p>
    <w:p>
      <w:pPr>
        <w:spacing w:after="0" w:line="48"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also imposes obligations, including mandatory contractual terms, with respect to safeguarding the privacy, security and transmission of individually identifiable health information;</w:t>
      </w:r>
    </w:p>
    <w:p>
      <w:pPr>
        <w:spacing w:after="0" w:line="45" w:lineRule="exact"/>
        <w:rPr>
          <w:rFonts w:ascii="Arial" w:cs="Arial" w:eastAsia="Arial" w:hAnsi="Arial"/>
          <w:sz w:val="18"/>
          <w:szCs w:val="18"/>
          <w:color w:val="auto"/>
        </w:rPr>
      </w:pPr>
    </w:p>
    <w:p>
      <w:pPr>
        <w:ind w:left="660" w:hanging="206"/>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w:t>
      </w:r>
      <w:r>
        <w:rPr>
          <w:rFonts w:ascii="Arial" w:cs="Arial" w:eastAsia="Arial" w:hAnsi="Arial"/>
          <w:sz w:val="11"/>
          <w:szCs w:val="11"/>
          <w:color w:val="auto"/>
        </w:rPr>
        <w:t>th</w:t>
      </w:r>
      <w:r>
        <w:rPr>
          <w:rFonts w:ascii="Arial" w:cs="Arial" w:eastAsia="Arial" w:hAnsi="Arial"/>
          <w:sz w:val="18"/>
          <w:szCs w:val="18"/>
          <w:color w:val="auto"/>
        </w:rPr>
        <w:t xml:space="preserve"> day of each calendar year); and</w:t>
      </w:r>
    </w:p>
    <w:p>
      <w:pPr>
        <w:spacing w:after="0" w:line="52"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80"/>
        <w:spacing w:after="0" w:line="298" w:lineRule="auto"/>
        <w:rPr>
          <w:sz w:val="20"/>
          <w:szCs w:val="20"/>
          <w:color w:val="auto"/>
        </w:rPr>
      </w:pPr>
      <w:r>
        <w:rPr>
          <w:rFonts w:ascii="Arial" w:cs="Arial" w:eastAsia="Arial" w:hAnsi="Arial"/>
          <w:sz w:val="16"/>
          <w:szCs w:val="16"/>
          <w:color w:val="auto"/>
        </w:rPr>
        <w:t>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9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or similar programs in other countries or jurisdictions,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0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for, and commercialize relugolix or RVT-602 and affect the prices we may obtain.</w:t>
      </w:r>
    </w:p>
    <w:p>
      <w:pPr>
        <w:spacing w:after="0" w:line="3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relugolix or RVT-602, restrict or regulate post-approval activities and affect our ability to profitably sell any products for which we obtain marketing approval.</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Affordable Care Act of importance to our potential product candidates are the following:</w:t>
      </w:r>
    </w:p>
    <w:p>
      <w:pPr>
        <w:spacing w:after="0" w:line="50" w:lineRule="exact"/>
        <w:rPr>
          <w:sz w:val="20"/>
          <w:szCs w:val="20"/>
          <w:color w:val="auto"/>
        </w:rPr>
      </w:pPr>
    </w:p>
    <w:p>
      <w:pPr>
        <w:ind w:left="660" w:right="20" w:hanging="206"/>
        <w:spacing w:after="0" w:line="32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37"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included further reductions to Medicare payments to providers of 2% per fiscal year, which went into effect in April 2013 and, due to subsequent legislative amendments to the statute, will stay in effect through 2025 unless additional Congressional action is taken. Additionally,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w:t>
      </w:r>
    </w:p>
    <w:p>
      <w:pPr>
        <w:spacing w:after="0" w:line="106"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Moreover, the Drug Supply Chain Security Act, which was enacted in 2012 as part of the Food and Drug Administration Safety and Innovation Act, imposes new obligations on manufacturers of pharmaceutical products related to product tracking and tracing. Legislative and regulatory proposals also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0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49"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Third-party payor coverage and adequate reimbursement may not be available for our product candidates, which could make it difficult for us to sell them profitably, if approved.</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Market acceptance and sales of any product candidates that we develop, will depend in part on the extent to which coverage and adequate reimbursement for these products and related treatments will be available from third-party payors, including government health administration authorities and private health insurers. In the United States, no uniform policy of coverage and reimbursement for products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and on what tier of its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99"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do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charged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to limited levels, we may not be able to successfully commercialize any product candidates that we develop.</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foreign jurisdictions that could affect our ability to sell any future drugs profitably. These legislative and regulatory changes may negatively impact the reimbursement for any future drugs, following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83"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We do not have our own manufacturing capabilities and will rely on Takeda and its affiliates and other third parties to produce clinical and commercial supplies of relugolix and RVT-602, and any future product candidate.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no experience in drug formulation or manufacturing and do not own or operate, and we do not expect to own or operate, facilities for product manufacturing, storage and distribution, or testing. While relugolix and RVT-602 were being developed by Takeda, they were also being manufactured by Takeda. Takeda has retained rights to further develop and commercialize relugolix in Japan and certain other Asian countries, and Takeda is continuing to develop relugolix in Japan. In April 2016, we acquired exclusive, worldwide rights to RVT-602 for all human diseases and conditions. Takeda is no longer developing this compound. We expect that the drug substance transferred from Takeda under our license agreement with Takeda will be sufficient for us to complete our planned Phase 3 programs for relugolix and possibly for RVT-602 as well. However, the drug substance transferred from Takeda may not meet our quality standards and may be disqualified from use in our planned clinical programs. Further, we will be dependent on third parties to help formulate and manufacture a fixed-dose combination of relugolix and low-dose estradiol and progestin.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11"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We also will rely on third-party manufacturers to supply us with sufficient quantities of relugolix and RVT-602 to be used, if approved, for the commercialization of each. The facilities used by our contract manufacturers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manufacture our product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current good manufacturing practice, or cGMP, requirements for manufacture of drug products. If our contract manufacturers cannot successfully manufacture material that conforms to our specifications and the strict regulatory requirements of the FDA or others, they will not be able to secure 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Further, our reliance on third-party manufacturers entails risks to which we would not be subject if we manufactured product candidates ourselves, including:</w:t>
      </w:r>
    </w:p>
    <w:p>
      <w:pPr>
        <w:spacing w:after="0" w:line="25"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inability to design a fixed-dose combination product of relugolix and low-dose estradiol and progestin;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the drug substance transferred from Takeda to meet our product specifications and quality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inability to procure or expand sufficient manufacturing capacity;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comply with cGMP and similar foreign standards;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03"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a limited number of sources, and in some cases, single sources for product components, such that if we are unable to secure a sufficient supply of these product components, we will be unable to manufacture and sell relugolix or RVT-602, if approved, or any future product candidate in a timely fashion, in sufficient quantities or under acceptable terms;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that are currently purchased from a sole or single source supplier;</w:t>
      </w:r>
    </w:p>
    <w:p>
      <w:pPr>
        <w:spacing w:after="0" w:line="103"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deliver our products under specified storage conditions and in a timely manner.</w:t>
      </w:r>
    </w:p>
    <w:p>
      <w:pPr>
        <w:spacing w:after="0" w:line="1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 these events could lead to clinical trial delays, failure to obtain regulatory approval or impact our ability to successfully commercialize our products. Some of these events could be the basis for FDA or other regulatory authority action, including injunction, recall, seizure, or total or partial suspension of production.</w:t>
      </w:r>
    </w:p>
    <w:p>
      <w:pPr>
        <w:spacing w:after="0" w:line="127"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3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currently do not have the ability to independently conduct pre-clinical studies that comply with the regulatory requirements known as good laboratory practice, or GLP, requirements. We also do not currently have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ability to independently conduct any clinical trials. We intend to rely on CROs and clinical trial sites to ensure the proper and timely conduct of our clinical trials, and we expect to have limited influence over their actual performance.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intend to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our regulatory responsibilities.</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CROs will be required to comply with the GLPs and GCPs,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respectively. The regulatory authorities enforce GCPs through periodic inspections of trial sponsors, principal investigators and clinical trial sites. Although we rely on CROs to conduct our GLP-compliant preclinical and nonclinical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a sufficient number of subjects, we may be required to repeat clinical trials, which would delay the regulatory approval process.</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our relationship with these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3" w:lineRule="exact"/>
        <w:rPr>
          <w:sz w:val="20"/>
          <w:szCs w:val="20"/>
          <w:color w:val="auto"/>
        </w:rPr>
      </w:pPr>
    </w:p>
    <w:p>
      <w:pPr>
        <w:ind w:left="240" w:right="72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drug development programs and product candidates. Our success depends in large part on our ability to obtain and maintain patent protection in the United States and other countries with respect to relugolix, RVT-602 and any future product candidates. We seek to protect our proprietary position by filing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w:t>
      </w:r>
    </w:p>
    <w:p>
      <w:pPr>
        <w:spacing w:after="0" w:line="1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It is also possible that we will fail to identify patentable aspects of our research and development output before it is too late to obtain patent protection. The patent applications that we own or in-license may fail to result in issued patents with claims that cover relugolix, RVT-602 or any future product candidate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relugolix, RVT-602 or any future product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spacing w:after="0" w:line="106"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If the patent applications we hold or have in-licensed with respect to our development programs and product candidates fail to issue, if their breadth or strength of protection is threatened, or if they fail to provide meaningful exclusivity for relugolix, RVT-602 or any future product candidate, it could dissuade companies from collaborating with us to develop product candidates, and threaten our ability to commercialize, future drugs. Any such outcome could have a materially adverse effect on our business.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United States law does.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0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and Trademark Office,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Moreover, we may be subject to a third party pre-issuance submission of prior art to the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06" w:lineRule="exact"/>
        <w:rPr>
          <w:sz w:val="20"/>
          <w:szCs w:val="20"/>
          <w:color w:val="auto"/>
        </w:rPr>
      </w:pPr>
    </w:p>
    <w:p>
      <w:pPr>
        <w:ind w:left="240" w:right="660"/>
        <w:spacing w:after="0" w:line="325" w:lineRule="auto"/>
        <w:rPr>
          <w:sz w:val="20"/>
          <w:szCs w:val="20"/>
          <w:color w:val="auto"/>
        </w:rPr>
      </w:pPr>
      <w:r>
        <w:rPr>
          <w:rFonts w:ascii="Arial" w:cs="Arial" w:eastAsia="Arial" w:hAnsi="Arial"/>
          <w:sz w:val="16"/>
          <w:szCs w:val="16"/>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have licensed the intellectual property rights covering our current product candidates from Takeda. If, for any reason, our license agreement with Takeda is terminated or we otherwise lose those rights, it could adversely affect our business. Our license agreement with Takeda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34" w:lineRule="exact"/>
        <w:rPr>
          <w:sz w:val="20"/>
          <w:szCs w:val="20"/>
          <w:color w:val="auto"/>
        </w:rPr>
      </w:pPr>
    </w:p>
    <w:p>
      <w:pPr>
        <w:jc w:val="both"/>
        <w:ind w:left="240" w:right="72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relugolix, RVT-602 or any future product candidate, our competitors might be able to enter the market, which would have an adverse effect on our business.</w:t>
      </w:r>
    </w:p>
    <w:p>
      <w:pPr>
        <w:spacing w:after="0" w:line="105" w:lineRule="exact"/>
        <w:rPr>
          <w:sz w:val="20"/>
          <w:szCs w:val="20"/>
          <w:color w:val="auto"/>
        </w:rPr>
      </w:pPr>
    </w:p>
    <w:p>
      <w:pPr>
        <w:ind w:left="240" w:right="320"/>
        <w:spacing w:after="0" w:line="325" w:lineRule="auto"/>
        <w:rPr>
          <w:sz w:val="20"/>
          <w:szCs w:val="20"/>
          <w:color w:val="auto"/>
        </w:rPr>
      </w:pPr>
      <w:r>
        <w:rPr>
          <w:rFonts w:ascii="Arial" w:cs="Arial" w:eastAsia="Arial" w:hAnsi="Arial"/>
          <w:sz w:val="16"/>
          <w:szCs w:val="16"/>
          <w:b w:val="1"/>
          <w:bCs w:val="1"/>
          <w:i w:val="1"/>
          <w:iCs w:val="1"/>
          <w:color w:val="auto"/>
        </w:rPr>
        <w:t>Third party claims or litigation alleging infringement of patents or other proprietary rights, or seeking to invalidate patents or other proprietary rights, may delay or prevent the development and commercialization of relugolix, RVT-602 and any future product candidate.</w:t>
      </w:r>
    </w:p>
    <w:p>
      <w:pPr>
        <w:spacing w:after="0" w:line="1"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party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We have conducted searches for information in support of patent protection and otherwise evaluating the patent landscape for relugolix and RVT-602, and, based on these searches and evaluations to date, we do not believe that there are valid patents which contain granted claims that could be asserted with respect to relugolix or RVT-602. However, we may be incorrect.</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1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10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3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1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United States has recently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Filing, prosecuting and defending patents covering relugolix, RVT-602 and any future product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02"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7"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Because we expect to rely on third parties to manufacture relugolix, RVT-602 and any future product candidates, and we expect to collaborate with third parties on the development of relugolix, RVT-602 and any future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83"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market price.</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this offering, there has not been a public market for our common shares. If an active trading market for our common shares does not develop following this offering, you may not be able to sell your shares quickly or at the market price. An inactive market may also impair our ability to raise capital to continue to fund operations by selling common shares and may impair our ability to acquire other companies or technologies by using our common shares as consideration. The initial public offering price of our common shares has been determined by negotiations between us and representatives of the underwriters, and may not be indicative of the market prices of our common shares that will prevail in the trading market.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shares is likely to be highly volatile, and you may lose some or all of your investment.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market price of our common shares is likely to be highly volatile and may be subject to wide fluctuations in response to a variety of factors, including the following:</w:t>
      </w:r>
    </w:p>
    <w:p>
      <w:pPr>
        <w:spacing w:after="0" w:line="37"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in the commencement, enrollment and ultimate completion of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relugolix, RVT-602 or those of our competitors;</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in filing an NDA or similar application for relugolix or RVT-602 and any adverse development or perceived adverse development with respect to the FDA or other regulatory authority’s review of that NDA or similar application, as the case may be;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relugolix, RVT-602 or any future product candidate;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03"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 or jurisdictions applicable to relugolix, RVT-602 or any future product candidate;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inability to obtain adequate product supply for relugolix, RVT-602 or any future product candidate, or the inability to do so at acceptable prices;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 and the issuance of new or changed securities analysts’ reports or recommendations;</w:t>
      </w:r>
    </w:p>
    <w:p>
      <w:pPr>
        <w:spacing w:after="0" w:line="138" w:lineRule="exact"/>
        <w:rPr>
          <w:rFonts w:ascii="Arial" w:cs="Arial" w:eastAsia="Arial" w:hAnsi="Arial"/>
          <w:sz w:val="15"/>
          <w:szCs w:val="15"/>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 and disputes or other developments relating to our proprietary rights, including patents, litigation matters and our ability to obtain patent protection for our technologies;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shares by us or our shareholders in the future;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shares, regardless of our actual operating performance. The market price of our common shares may decline below the initial public offering price, and you may lose some or all of your investment.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in our share price could subject us to securities class action litigation.</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share price volatility in recent years. If we face such litigation, it could result in substantial costs and a diversion of management’s attention and resources, which could harm our business.</w:t>
      </w:r>
    </w:p>
    <w:p>
      <w:pPr>
        <w:spacing w:after="0" w:line="9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We will be a “controlled company” within the meaning of the applicable rules of the NYSE and, as a result, will qualify for exemptions from certain corporate governance requirements. If we rely on these exemptions, you will not have the same protections afforded to shareholders of companies that are subject to such requirements.</w:t>
      </w:r>
    </w:p>
    <w:p>
      <w:pPr>
        <w:spacing w:after="0" w:line="4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the closing of this offering, Roivant Sciences Ltd. will continue to control a majority of the voting power of our outstanding common shares. As a result, we will be a “controlled company” within the meaning of the NYSE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spacing w:after="0" w:line="49"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we have a nominating and corporate governance committee that is composed entirely of independent directors with a written charter addressing the committee’s purpose and responsibilities; and</w:t>
      </w:r>
    </w:p>
    <w:p>
      <w:pPr>
        <w:spacing w:after="0" w:line="37"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intend to use these exemptions upon the closing of this offering and we may continue to use all or some of these exemptions in the future. As a result, you may not have the same protections afforded to shareholders of companies that are subject to all of the NYSE corporate governance requirements.</w:t>
      </w:r>
    </w:p>
    <w:p>
      <w:pPr>
        <w:spacing w:after="0" w:line="7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Roivant Sciences Ltd. will continue to own a significant percentage of our common shares and will be able to exert significant control over matters subject to shareholder approval.</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Roivant Sciences Ltd. is currently our majority shareholder, and after this offering is completed, we will continue to be controlled by Roivant Sciences Ltd. Upon the closing of this offering, Roivant Sciences Ltd. will beneficially own approximately 61.8% of the voting power of our outstanding common shares, or approximately 59.4% if the underwriters exercise their option to purchase additional common shares in full. Therefore, even after this offering, Roivant Sciences Ltd. will have the ability to substantially influence us and exert significant control through this ownership position. For example, Roivant Sciences Ltd. will be able to control elections of directors, amendments of our organizational documents, or approval of any merger, amalgamation, sale of assets or other major corporate transaction. Roivant Sciences Ltd.’s interests may not always coincide with our corporate interests or the interests of other shareholders, and it may exercise its voting and other rights in a manner with which you may not agree or that may not be in the best interests of our other shareholders. So long as it continues to own a significant amount of our equity, Roivant Sciences Ltd. will continue to be able to strongly influence and significantly control our decisions.</w:t>
      </w:r>
    </w:p>
    <w:p>
      <w:pPr>
        <w:spacing w:after="0" w:line="10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We do not have any control over these analysts. If our financial performance fails to meet analyst estimates or one or more of the analysts who cover us downgrade our common shares or change their opinion of our common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shares in the foreseeable future, capital appreciation, if any, would be your sole source of gain.</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never declared or paid any cash dividends on our common shares. We currently anticipate that we will retain future earnings for the development, operation and expansion of our business and do not anticipate declaring or paying any cash dividends for the foreseeable future. As a result, capital appreciation, if any, of our common shares would be your sole source of gain on an investment in our common shares for the foreseeable future. Additionally, we are subject to Bermuda legal constraints that may affect our ability to pay dividends on our common shares and make other payments. See “Dividend Policy” for additional information.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not use them effectively.</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our shareholders will not have the opportunity as part of their investment decision to assess whether the net proceeds are being used appropriately. You may not agree with our decisions, and our use of the proceeds may not yield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 For a period of six months after the closing of this offering, we have agreed to invest any cash and cash equivalents in a non-interest bearing account, and as a result, such investment will not yield a return.</w:t>
      </w:r>
    </w:p>
    <w:p>
      <w:pPr>
        <w:spacing w:after="0" w:line="102"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As a result of certain new investors agreeing to participate in this offering, the available public float for our common shares will be reduced and the liquidity of our common shares may be adversely affected.</w:t>
      </w:r>
    </w:p>
    <w:p>
      <w:pPr>
        <w:spacing w:after="0" w:line="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Entities affiliated with Pfizer Inc. and BB Biotech AG have each agreed to purchase 2,000,000 of our common shares in this offering at the initial public offering price. The common shares purchased by these entities in this offering will be subject to a 180-day lock-up agreement with the underwriters and the purchase by these entities will reduce the available public float for our common shares. As a result, the purchase of common shares by these entities in this offering may reduce the liquidity of our common shares relative to what it would have been had these shares been purchased by other investors or not subject to lock-up agreements.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shares may depress our share price.</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this offering, based on the 43,590,411 common shares outstanding as of June 30, 2016, there will be 60,227,953 common shares outstanding, assuming no exercise by the underwriters of their option to purchase additional common shares. Sales of a substantial number of our common shares in the public market after this offering, or the perception that these sales might occur, could depress the market price of our common shares and could impair our ability to raise capital through the sale of additional equity securities. Of our issued and outstanding common shares, all of the shares sold in this offering will be freely transferable without restrictions or further registration under the Securities Act of 1933, as amended, or the Securities Act, except for the common shares sold to entities affiliated with Pfizer Inc. and BB Biotech AG, each of which has entered into a 180-day lock-up agreement with the underwriters. The remaining 45,727,953 common shares outstanding after this offering will be restricted as a result of securities laws, lock-up agreements or other contractual restrictions that restrict transfers for 180 days after the date of this prospectus. See the section titled “Shares Eligible for Future Sale—Lock-Up Agreements” for a more detailed description of the lock-up period.</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file a registration statement on Form S-8 under the Securities Act to register the total number of our common shares that may be issued under our equity incentive plans. See the information in the section titled “Shares Eligible for Future Sale—Form S-8 Registration Statements” for a more detailed description of the common shares that will be available for future sale upon the registration and issuance of such common shares, subject to any applicable vesting or lock-up period or other restrictions provided under the terms of the applicable plan or the option agreements entered into with the option holders. Sales of these common shares have an adverse effect on the trading price of our common shares. In addition, in the future we may issue common shares or other securities if we need to raise additional capital. The number of our new common shares issued in connection with raising additional capital could constitute a material portion of our then outstanding common shares.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you purchase our common shares in this offering, you will incur immediate and substantial dilution in the book value of your common shares.</w:t>
      </w:r>
    </w:p>
    <w:p>
      <w:pPr>
        <w:spacing w:after="0" w:line="10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initial public offering price of our common shares is substantially higher than the pro forma as adjusted net tangible book value per common share of our common shares. Therefore, if you purchase our common shares in this offering, you will pay a price per common share that substantially exceeds the book value of our tangible assets after subtracting our liabilities. Based on the initial public offering price of $15.00 per common share, you</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 experience immediate dilution of $11.83 per common share, representing the difference between our pro forma as adjusted net tangible book value per common share, after giving effect to this offering, and the initial public offering price. In addition, you will experience further dilution if we issue additional common shares after the closing of this offering pursuant to a warrant we issued to Takeda, exercisable at a price of $0.000017727 per share, which allows Takeda, together with its affiliates, to maintain a 12% ownership interest in us through April 2017, as further described in the section titled “Certain Relationships and Related Party Transactions—Relationship with Takeda Pharmaceuticals International AG—Warrant.” Further, the future exercise of any options to purchase our common shares will cause you to experience additional dilution. See the section titled “Dilution” for additional information.</w:t>
      </w:r>
    </w:p>
    <w:p>
      <w:pPr>
        <w:spacing w:after="0" w:line="107"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3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NYSE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32"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common shares.</w:t>
      </w:r>
    </w:p>
    <w:p>
      <w:pPr>
        <w:spacing w:after="0" w:line="4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be required, pursuant to Section 404,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0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evaluation and testing process of our internal control, if we identify one or more material weaknesses in our internal control over financial reporting, we will be unable to assert that our internal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shares could decline, and we could be subject to sanctions or investigations by the NYSE,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05"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shareholder approval of any golden parachute payments not previously approved.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shares that is held by non-affiliates exceeds $700.0 million as of the prior June 30th, and (2) the date on which we have issued more than $1.0 billion in non-convertible debt during the prior three-year period.</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9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and reduced disclosure obligations regarding executive compensation in this prospectus and our periodic reports and proxy statements.</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Bermuda company and it may be difficult for you to enforce judgments against us or our directors and executive officers.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Bermuda exempted company. As a result, the rights of our shareholders will be governed by Bermuda law and our memorandum of association and bye-laws. The rights of shareholders under Bermuda law may differ from the rights of shareholders of companies incorporated in another jurisdiction. It may be difficult for investors to enforce in the United States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laws of other jurisdictions. See “Enforcement of Civil Liabilities under United States Federal Securities Laws” for additional information.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Bermuda law differs from the laws in effect in the United States and may afford less protection to our shareholders.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organized under the laws of Bermuda. As a result, our corporate affairs are governed by the Bermuda Companies Act 1981, as amended, or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1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NYSE.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NYSE or another appointed stock exchange.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anti-takeover provisions in our bye-laws that may discourage a change of control.</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bye-laws contain provisions that could make it more difficult for a third party to acquire us without the consent of our board of directors. These provisions provide for:</w:t>
      </w:r>
    </w:p>
    <w:p>
      <w:pPr>
        <w:spacing w:after="0" w:line="3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only to be removed for cause;</w:t>
      </w:r>
    </w:p>
    <w:p>
      <w:pPr>
        <w:spacing w:after="0" w:line="103"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an affirmative vote of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voting shares for certain “business combination” transactions that have not been approved by our board of directors;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time period in which directors may be nominated; and</w:t>
      </w:r>
    </w:p>
    <w:p>
      <w:pPr>
        <w:spacing w:after="0" w:line="103"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to determine the powers, preferences and rights of our preference shares and to issue the preference shares without shareholder approval.</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and may prevent our shareholders from receiving the benefit from any premium to the market price of our common shares offered by a bidder in a takeover context. Even in the absence of a takeover attempt, the existence of these provisions may adversely affect the prevailing market price of our common shares if the provisions are viewed as discouraging takeover attempts in the future. These provisions could also discourage proxy contests, make it more difficult for you and other shareholders to elect directors of your choosing and cause us to take corporate actions other than those you desire. See the section titled “Description of Share Capital.”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voting power of your common shares may be reduced without your further consent.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amended and restated bye-laws, in the event that any U.S. person holds, directly, indirectly or constructively, 9.5% or more of the total voting power of our issued share capital, excluding any U.S. person that holds, directly, indirectly or constructively, 9.5% or more of the total voting power of issued share capital immediately prior to the closing of this offering, the aggregate votes conferred by the common shares held by such person (or by any person through which such U.S. person indirectly or constructively holds shares) will be reduced by our board of directors to the extent necessary such that the common shares held, directly, indirectly or constructively, by such U.S. person will constitute less than 9.5% of the voting power of all issued and outstanding shares. Roivant Sciences Ltd. and certain of its affiliates will not be subject to these provisions. Further, our board of directors may determine that shares shall carry different or no voting rights as it reasonably determines, based on the advice of counsel, to be appropriate to (1) avoid the existence of any U.S. person who holds 9.5% or more of the total voting power of our issued share capital or (2) avoid adverse tax, legal or regulatory consequences to us, any subsidiary of ours or any holder of our common shares or its affiliates. These provisions may discourage potential investors from acquiring a stake or making a significant investment in our company as well as discourage a takeover attempt, which may prevent our shareholders from receiving the benefit of any such transactions as well as adversely affect the prevailing market price of our common shares if viewed as discouraging takeover attempts in the future.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unanticipated tax liabilities and higher effective tax rates.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incorporated under the laws of Bermuda, where we are not subject to any tax. We may, however,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non-Bermudan tax liability could materially adversely affect our results of operations. For example, we expect that Myovant Sciences GmbH will be the principal operating company for conducting our business and the entity that will hold our intellectual property rights in relugolix and RVT-602. The establishment of this Swiss entity as our principal operating company and the transfer of our intellectual property rights to this entity may result in a higher overall effective tax rate.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3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and Roivant Sciences Ltd., our principal shareholder, are based in Bermuda, and we currently have subsidiaries in the United Kingdom, Switzerland and the United States. If we succeed in growing our business, we expect to conduct increased operations through our subsidiaries in various countries and tax jurisdictions, in part through intercompany service agreements between us, our parent company and our subsidiaries.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 In addition, tax laws are dynamic and subject to change as new laws are passed and new interpretations of the law are issued or applied. In particular, there is uncertainty as to any future U.S. tax legislation on corporate tax rates but also the U.S. tax consequences of income derived from intellectual property held overseas in low tax jurisdictions.</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potentially resulting in double taxation. If tax authorities were to allocate income to a higher tax jurisdiction, subject our income to double taxation or assess interest and penalties, it would increase our tax liability, which could adversely affect our financial condition, results of operations and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our effective tax rate may reduce our net income in future periods.</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tax position could be adversely impacted by changes in tax rates, tax laws, tax practice, tax treaties or tax regulations or changes in the interpretation thereof by the tax authorities in Europe, the United States, Bermuda and other jurisdictions as well as being affected by certain changes currently proposed by the Organisation for Economic Co-operation and Development and their action plan on Base Erosion and Profit Shifting. Such changes may become more likely as a result of recent economic trends in the jurisdictions in which we operate, particularly if such trends continue. If such a situation was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actual effective tax rate may vary from our expectation and that variance may be material. A number of factors may increase our future effective tax rates, including: (1) the jurisdictions in which profits are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share-based compensation; (6) changes in tax laws or the interpretation of such tax laws, and changes in generally accepted accounting principles; and (7) challenges to the transfer pricing policies related to our structure.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0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If we are characterized as a PFIC, U.S. holders of our common shares may suffer adverse tax consequences, including having gains realized on the sale of our common shares treated as ordinary income, rather than capital gain, the loss of the preferential rate applicable to dividends received on our common shares by individuals who are U.S. holders, and having interest charges apply to distributions by us and gains on the sale of our common shares. In addition, special information reporting may be required. See the section titled “Material Bermuda and U.S. Federal Income Tax Considerations—U.S. Federal Income Tax Considerations—Passive Foreign Investment Company Rules.”</w:t>
      </w:r>
    </w:p>
    <w:p>
      <w:pPr>
        <w:spacing w:after="0" w:line="10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status as a PFIC will depend on the nature and composition of our income and the nature, composition and value of our assets (which, assuming we are not a “controlled foreign corporation,” or a CFC, under Section 957(a) of the Internal Revenue Code of 1986, as amended, or the Code, for the year being tested, may be determined based on the fair market value of each asset, with the value of goodwill and going concern value determined in large part by reference to the market value of our common shares, which may be volatile) from time to time. Our status may also depend, in part, on how quickly we utilize the cash proceeds from this offering in our business. We believe that we were not a CFC prior to this offering in the current taxable year which will end on March 31, 2017. Based on this belief, with respect to the taxable year beginning in 2016 and foreseeable future taxable years, we presently do not anticipate that we will be a PFIC based upon the expected value of our assets, including any goodwill, and the expected nature and composition of our income and assets. Our status as a PFIC is a fact-intensive determination made on an annual basis and we cannot provide any assurances regarding our PFIC status for the current or future taxable years.</w:t>
      </w:r>
    </w:p>
    <w:p>
      <w:pPr>
        <w:spacing w:after="0" w:line="9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event that we receive passive income in the future that would cause us to be a PFIC, we would expect to evaluate and may implement alternative structures and arrangements including structures and arrangements intended to mitigate the possibility that we will be classified as a PFIC. The failure or inability to implement such structures or arrangements may have an adverse impact on the determination of whether we are classified as a PFIC.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25"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of relugolix and RVT-602;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commercialize relugolix and RVT-602, if approved;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and degree of market acceptance of relugolix and RVT-602, if approved;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financing;</w:t>
      </w:r>
    </w:p>
    <w:p>
      <w:pPr>
        <w:spacing w:after="0" w:line="126" w:lineRule="exact"/>
        <w:rPr>
          <w:rFonts w:ascii="Arial" w:cs="Arial" w:eastAsia="Arial" w:hAnsi="Arial"/>
          <w:sz w:val="16"/>
          <w:szCs w:val="16"/>
          <w:color w:val="auto"/>
        </w:rPr>
      </w:pPr>
    </w:p>
    <w:p>
      <w:pPr>
        <w:ind w:left="660" w:right="20" w:hanging="206"/>
        <w:spacing w:after="0" w:line="32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expectation that the net proceeds from this offering will be sufficient to enable us to conduct our planned clinical development of relugolix and RVT-602, including through unblinding and release of data for at least one of our Phase 3 programs, which we expect to occur in 2019;</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intellectual property protection for relugolix and RVT-602;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develop new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estimate that the net proceeds from our issuance and sale of 14,500,000 common shares in this offering will be approximately $199.8 million, or approximately $230.1 million if the underwriters exercise their option to purchase additional common shares in full, based upon the initial public offering price of $15.00 per common share, after deducting underwriting discounts and commissions and estimated offering expenses payable by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77" w:lineRule="exact"/>
        <w:rPr>
          <w:sz w:val="20"/>
          <w:szCs w:val="20"/>
          <w:color w:val="auto"/>
        </w:rPr>
      </w:pPr>
    </w:p>
    <w:p>
      <w:pPr>
        <w:ind w:left="660" w:right="16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$25.0 million to $33.0 million to fund our planned Phase 3 clinical program for relugolix for the treatment of heavy menstrual bleeding associated with uterine fibroids;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$30.0 million to $40.0 million to fund our planned Phase 3 clinical program for relugolix for the treatment of endometriosis-associated pain;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approximately $40.0 million to $50.0 million to fund our planned Phase 3 clinical program for relugolix for the treatment of advanced prostate cancer;</w:t>
      </w:r>
    </w:p>
    <w:p>
      <w:pPr>
        <w:spacing w:after="0" w:line="126"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$3.0 million to $5.0 million to fund a Phase 1 healthy-volunteer study in women followed by a planned proof-of-concept Phase 2 trial for RVT-602 for the treatment of female infertility as part of assisted reproduction; and</w:t>
      </w:r>
    </w:p>
    <w:p>
      <w:pPr>
        <w:spacing w:after="0" w:line="37"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to fund working capital and general corporate purposes, which may include research and development of relugolix and RVT-602 for other indications.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which could change in the future as our plans and business conditions evolve. We believe the net proceeds from this offering, allocated as set forth above, will enable us to conduct each of the indicated planned clinical programs or trials, as applicable, including through unblinding and release of data for at least one of our Phase 3 programs, which we expect to occur in 2019; however, the amounts and timing of our actual expenditures may vary significantly depending on numerous factors, including the progress of our development, the status of and results from preclinical studies and clinical trials, as well as any collaborations that we may enter into with third parties, and any unforeseen cash needs.</w:t>
      </w:r>
    </w:p>
    <w:p>
      <w:pPr>
        <w:spacing w:after="0" w:line="13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believe opportunities may exist from time to time to expand our current business through the acquisition or in-license of complementary product candidates. While we have no current agreements or commitments for any specific acquisitions or in-licenses at this time, we may use a portion of the net proceeds for these purposes.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of this offering. The timing and amount of our actual expenditures will be based on many factors, including cash flows from operations and the anticipated growth of our business. Pending these uses, for a period of six months after the closing of this offering, we plan to invest these net proceeds in a non-interest bearing account. Thereafter, we may choose to invest these net proceeds in short-term, interest bearing obligations, investment-grade instruments, certificates of deposit or direct or guaranteed obligations of the United States. The goal with respect to the investment of these net proceeds is capital preservation and liquidity so that such funds are readily available to fund our operations.</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believe that the net proceeds from this offering will be sufficient to enable us to fund our operating expenses and capital expenditure requirements through unblinding and release of data for at least one of our Phase 3 programs, which we expect to occur in 2019. We have based this estimate on assumptions that may prove to be incorrect, and we could use our available capital resources sooner than we currently expect.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never declared or paid any dividends on our common shares.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In addition, pursuant to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common share is entitled to dividends if, as and when dividends are declared by our board of directors, subject to any preferred dividend right of the holders of any preference shares.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capitalization as of June 30, 2016:</w:t>
      </w:r>
    </w:p>
    <w:p>
      <w:pPr>
        <w:spacing w:after="0" w:line="77"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03" w:lineRule="exact"/>
        <w:rPr>
          <w:rFonts w:ascii="Arial" w:cs="Arial" w:eastAsia="Arial" w:hAnsi="Arial"/>
          <w:sz w:val="18"/>
          <w:szCs w:val="18"/>
          <w:color w:val="auto"/>
        </w:rPr>
      </w:pPr>
    </w:p>
    <w:p>
      <w:pPr>
        <w:ind w:left="900" w:right="220" w:hanging="217"/>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issuance and sale of 14,500,000 common shares in this offering at the initial public offering price of $15.00 per common share, after deducting underwriting discounts and commissions and estimated offering expenses payable by us;</w:t>
      </w:r>
    </w:p>
    <w:p>
      <w:pPr>
        <w:spacing w:after="0" w:line="37" w:lineRule="exact"/>
        <w:rPr>
          <w:rFonts w:ascii="Arial" w:cs="Arial" w:eastAsia="Arial" w:hAnsi="Arial"/>
          <w:sz w:val="18"/>
          <w:szCs w:val="18"/>
          <w:color w:val="auto"/>
        </w:rPr>
      </w:pPr>
    </w:p>
    <w:p>
      <w:pPr>
        <w:jc w:val="both"/>
        <w:ind w:left="900" w:right="400" w:hanging="217"/>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aggregate of 160,273 common shares issued to Takeda in August and September 2016 upon the automatic exercise of a warrant we issued to Takeda at an exercise price of $0.000017727 per share, which was initiated by the grant of stock options for an aggregate of 1,175,311 common shares;</w:t>
      </w:r>
    </w:p>
    <w:p>
      <w:pPr>
        <w:spacing w:after="0" w:line="45" w:lineRule="exact"/>
        <w:rPr>
          <w:rFonts w:ascii="Arial" w:cs="Arial" w:eastAsia="Arial" w:hAnsi="Arial"/>
          <w:sz w:val="18"/>
          <w:szCs w:val="18"/>
          <w:color w:val="auto"/>
        </w:rPr>
      </w:pPr>
    </w:p>
    <w:p>
      <w:pPr>
        <w:ind w:left="900" w:hanging="217"/>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issuance of an additional 1,977,269 common shares to Takeda upon the closing of this offering pursuant to the automatic exercise of a warrant we issued to Takeda, based upon the sale and issuance of 14,500,000 common shares to investors in this offering at the initial public offering price of $15.00 per common share;</w:t>
      </w:r>
    </w:p>
    <w:p>
      <w:pPr>
        <w:spacing w:after="0" w:line="45" w:lineRule="exact"/>
        <w:rPr>
          <w:rFonts w:ascii="Arial" w:cs="Arial" w:eastAsia="Arial" w:hAnsi="Arial"/>
          <w:sz w:val="18"/>
          <w:szCs w:val="18"/>
          <w:color w:val="auto"/>
        </w:rPr>
      </w:pPr>
    </w:p>
    <w:p>
      <w:pPr>
        <w:ind w:left="900" w:right="200" w:hanging="217"/>
        <w:spacing w:after="0" w:line="325"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offsetting increases of $32,063,130 to each of accumulated deficit and additional paid-in capital to account for the aggregate issuance of 2,137,542 common shares to Takeda (calculated by multiplying such shares by the initial public offering price of $15.00 per common share); and</w:t>
      </w:r>
    </w:p>
    <w:p>
      <w:pPr>
        <w:spacing w:after="0" w:line="1" w:lineRule="exact"/>
        <w:rPr>
          <w:rFonts w:ascii="Arial" w:cs="Arial" w:eastAsia="Arial" w:hAnsi="Arial"/>
          <w:sz w:val="16"/>
          <w:szCs w:val="16"/>
          <w:color w:val="auto"/>
        </w:rPr>
      </w:pPr>
    </w:p>
    <w:p>
      <w:pPr>
        <w:ind w:left="900" w:hanging="217"/>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reclassification of deferred initial public offering costs of $523,681 from assets to additional paid-in capital.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should read this table together with the sections titled “Use of Proceeds,” “Selected Consolidated Financial Data” and “Management’s Discussion and Analysis of Financial Condition and Results of Operations” and our consolidated financial statements and the related notes appearing elsewhere in this prospectus.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29"/>
        </w:trPr>
        <w:tc>
          <w:tcPr>
            <w:tcW w:w="8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199,775,000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Shareholders’ (deficit)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Common shares, $0.000017727 par value; 564,111,242 shares authorized, 43,590,411 shares issued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outstanding, actual; 564,111,242 shares authorized, 60,227,953 shares issued and outstanding, pro forma as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Common shares subscribed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12,029,070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243,343,224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(20,627,277)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(52,690,407)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(deficit)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(8,598,094)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190,653,225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ind w:left="880"/>
              <w:spacing w:after="0"/>
              <w:rPr>
                <w:sz w:val="20"/>
                <w:szCs w:val="20"/>
                <w:color w:val="auto"/>
              </w:rPr>
            </w:pPr>
            <w:r>
              <w:rPr>
                <w:rFonts w:ascii="Arial" w:cs="Arial" w:eastAsia="Arial" w:hAnsi="Arial"/>
                <w:sz w:val="18"/>
                <w:szCs w:val="18"/>
                <w:color w:val="auto"/>
              </w:rPr>
              <w:t>Total capitalization</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(8,598,094)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190,653,225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outstanding in the table above excludes:</w:t>
      </w:r>
    </w:p>
    <w:p>
      <w:pPr>
        <w:spacing w:after="0" w:line="77" w:lineRule="exact"/>
        <w:rPr>
          <w:sz w:val="20"/>
          <w:szCs w:val="20"/>
          <w:color w:val="auto"/>
        </w:rPr>
      </w:pPr>
    </w:p>
    <w:p>
      <w:pPr>
        <w:ind w:left="660" w:right="80" w:hanging="206"/>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indeterminate number of capital shares that may be issued after the closing of this offering pursuant to a warrant we issued to Takeda, which allows Takeda, together with its affiliates, to maintain a 12% ownership interest in us, as determined after such exercise, through April 2017, unless earlier terminated upon a change in control, as further described in the section titled “Certain Relationships and Related Party Transactions—Relationship with Takeda Pharmaceuticals International AG—Warrant;” and</w:t>
      </w:r>
    </w:p>
    <w:p>
      <w:pPr>
        <w:spacing w:after="0" w:line="48" w:lineRule="exact"/>
        <w:rPr>
          <w:rFonts w:ascii="Arial" w:cs="Arial" w:eastAsia="Arial" w:hAnsi="Arial"/>
          <w:sz w:val="18"/>
          <w:szCs w:val="18"/>
          <w:color w:val="auto"/>
        </w:rPr>
      </w:pPr>
    </w:p>
    <w:p>
      <w:pPr>
        <w:ind w:left="660" w:right="260" w:hanging="206"/>
        <w:spacing w:after="0" w:line="30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3,384,667 common shares reserved for future issuance under our 2016 Equity Incentive Plan, as amended, of which stock options for an aggregate of 1,175,311 common shares, with a weighted-average exercise price of $3.17 per share, were granted in August and September 2016, as well as any automatic increases in the number of common shares reserved for future issuance under this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you invest in our common shares in this offering, your interest will be diluted to the extent of the difference between the initial public offering price per common share and the pro forma as adjusted net tangible book value per common share of our common shares immediately after this offering.</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June 30, 2016, we had a pro forma net tangible book deficit of $(9.1) million, or $(0.20) per common share. Pro forma net tangible book value per common share is determined by dividing our total tangible assets less total liabilities by the number of outstanding common shares, after giving effect to: (1) an aggregate of 160,273 common shares issued to Takeda in August and September 2016 upon the automatic exercise of a warrant we issued to Takeda at an exercise price of $0.000017727 per share, which was initiated by the grant of stock options for an aggregate of 1,175,311 common shares; and (2) the issuance of an additional 1,977,269 common shares to Takeda upon the closing of this offering pursuant to the automatic exercise of a warrant we issued to Takeda, based upon the sale and issuance of 14,500,000 common shares to investors in this offering at the initial public offering price of $15.00 per common share.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After giving effect to the issuance and sale of 14,500,000 common shares in this offering at the initial public offering price of $15.00 per common share, after deducting underwriting discounts and commissions and estimated offering expenses payable by us, our pro forma as adjusted net tangible book value as of June 30, 2016 would have been $190.7 million, or $3.17 per common share. This represents an immediate increase in the pro forma as adjusted net tangible book value of $3.37 per common share to our shareholders, and an immediate dilution in the pro forma as adjusted net tangible book value of $11.83 per common share to investors purchasing our common shares in this offering. The following table illustrates this per common share dilution: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common share</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common share as of June 30, 2016</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 (0.20)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Increase in pro forma net tangible book value per common share attributable to new investors participating in this offering</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common share after this offering</w:t>
            </w:r>
          </w:p>
        </w:tc>
        <w:tc>
          <w:tcPr>
            <w:tcW w:w="92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investors participating in this offering</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underwriters exercise their option in full to purchase an additional 2,175,000 common shares in this offering, the pro forma as adjusted net tangible book value per common share after the offering would be $3.52 per common share, the increase in the pro forma as adjusted net tangible book value per common share to our shareholders would be $3.72 per common share and the dilution to new investors purchasing common shares in this offering would be $11.48 per common share.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The following table sets forth as of June 30, 2016, on the pro forma as adjusted basis described above, the differences between the number of common shares purchased from us, the total consideration paid and the weighted average price per common share paid by our shareholders, including an aggregate of 160,273 common shares issued to Takeda in August and September 2016 and 1,977,269 common shares issuable to Takeda upon the closing of this offering pursuant to the automatic exercise of a warrant we issued to Takeda at an exercise price of $0.000017727 per share, and by investors purchasing our common shares in this offering at the initial public offering price of $15.00 per common share, before deducting underwriting discounts and commissions and estimated offering expenses payable by 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Total Consideration</w:t>
            </w:r>
          </w:p>
        </w:tc>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Price Per</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gridSpan w:val="3"/>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Percent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45,727,953</w:t>
            </w:r>
          </w:p>
        </w:tc>
        <w:tc>
          <w:tcPr>
            <w:tcW w:w="5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14,500,000</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217,500,000</w:t>
            </w:r>
          </w:p>
        </w:tc>
        <w:tc>
          <w:tcPr>
            <w:tcW w:w="50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60,227,953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217,500,000</w:t>
            </w: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and discussion above exclude:</w:t>
      </w:r>
    </w:p>
    <w:p>
      <w:pPr>
        <w:spacing w:after="0" w:line="77" w:lineRule="exact"/>
        <w:rPr>
          <w:sz w:val="20"/>
          <w:szCs w:val="20"/>
          <w:color w:val="auto"/>
        </w:rPr>
      </w:pPr>
    </w:p>
    <w:p>
      <w:pPr>
        <w:ind w:left="660" w:right="80" w:hanging="206"/>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indeterminate number of capital shares that may be issued after the closing of this offering pursuant to a warrant we issued to Takeda, which allows Takeda, together with its affiliates, to maintain a 12% ownership interest in us, as determined after such exercise, through April 2017, unless earlier terminated upon a change in control, as further described in the section titled “Certain Relationships and Related Party Transactions—Relationship with Takeda Pharmaceuticals International AG—Warrant;” and</w:t>
      </w:r>
    </w:p>
    <w:p>
      <w:pPr>
        <w:spacing w:after="0" w:line="48" w:lineRule="exact"/>
        <w:rPr>
          <w:rFonts w:ascii="Arial" w:cs="Arial" w:eastAsia="Arial" w:hAnsi="Arial"/>
          <w:sz w:val="18"/>
          <w:szCs w:val="18"/>
          <w:color w:val="auto"/>
        </w:rPr>
      </w:pPr>
    </w:p>
    <w:p>
      <w:pPr>
        <w:ind w:left="660" w:right="260" w:hanging="206"/>
        <w:spacing w:after="0" w:line="30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3,384,667 common shares reserved for future issuance under our 2016 Equity Incentive Plan, as amended, of which stock options for an aggregate of 1,175,311 common shares, with a weighted-average exercise price of $3.17 per share, were granted in August and September 2016, as well as any automatic increases in the number of common shares reserved for future issuance under this plan.</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the extent any options are issued under our equity incentive plans, or we issue additional common shares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tables set forth our selected consolidated financial data for the periods indicated. We derived the consolidated statement of operations data for the period from February 2, 2016 (date of inception) through March 31, 2016 and the consolidated balance sheet data as of March 31, 2016 from our audited consolidated financial statements appearing elsewhere in this prospectus. Our consolidated statement of operations data for the three months ended June 30, 2016 and the consolidated balance sheet data as of June 30, 2016 are derived from our unaudited consolidated financial statements appearing elsewhere in this prospectus. We have prepared the unaudited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The data should be read together with the section titled “Management’s Discussion and Analysis of Financial Condition and Results of Operations” and our consolidated financial statements and related notes appearing elsewhere in this prospectus. Our historical results are not necessarily indicative of the results to be expected in the future, and our operating results for the period ended March 31, 2016 and the three months ended June 30, 2016 are not indicative of the results that may be expected for a full fiscal year or any other future period. Our fiscal year ends on March 31.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Period from</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February 2, 2016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(Date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4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8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March 31, 2016</w:t>
            </w:r>
          </w:p>
        </w:tc>
        <w:tc>
          <w:tcPr>
            <w:tcW w:w="24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June 30, 2016</w:t>
            </w:r>
          </w:p>
        </w:tc>
        <w:tc>
          <w:tcPr>
            <w:tcW w:w="0" w:type="dxa"/>
            <w:vAlign w:val="bottom"/>
          </w:tcPr>
          <w:p>
            <w:pPr>
              <w:spacing w:after="0"/>
              <w:rPr>
                <w:sz w:val="1"/>
                <w:szCs w:val="1"/>
                <w:color w:val="auto"/>
              </w:rPr>
            </w:pPr>
          </w:p>
        </w:tc>
      </w:tr>
      <w:tr>
        <w:trPr>
          <w:trHeight w:val="188"/>
        </w:trPr>
        <w:tc>
          <w:tcPr>
            <w:tcW w:w="816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14,573,014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1,656,788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1,656,788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17,134,892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Changes in the fair value of the warrant liability</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(1,832,543)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440"/>
              <w:spacing w:after="0"/>
              <w:rPr>
                <w:sz w:val="20"/>
                <w:szCs w:val="20"/>
                <w:color w:val="auto"/>
              </w:rPr>
            </w:pPr>
            <w:r>
              <w:rPr>
                <w:rFonts w:ascii="Arial" w:cs="Arial" w:eastAsia="Arial" w:hAnsi="Arial"/>
                <w:sz w:val="18"/>
                <w:szCs w:val="18"/>
                <w:color w:val="auto"/>
              </w:rPr>
              <w:t>Loss before provision for income tax</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(1,656,788)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(18,967,435)</w:t>
            </w:r>
          </w:p>
        </w:tc>
        <w:tc>
          <w:tcPr>
            <w:tcW w:w="0" w:type="dxa"/>
            <w:vAlign w:val="bottom"/>
          </w:tcPr>
          <w:p>
            <w:pPr>
              <w:spacing w:after="0"/>
              <w:rPr>
                <w:sz w:val="1"/>
                <w:szCs w:val="1"/>
                <w:color w:val="auto"/>
              </w:rPr>
            </w:pPr>
          </w:p>
        </w:tc>
      </w:tr>
      <w:tr>
        <w:trPr>
          <w:trHeight w:val="222"/>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(1,656,788)</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(18,970,489)</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share—basic and diluted(1)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outstanding—basic and diluted(1)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37,231,342</w:t>
            </w:r>
          </w:p>
        </w:tc>
        <w:tc>
          <w:tcPr>
            <w:tcW w:w="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40,771,548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share—basic and diluted (unaudited)(2)</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 average common shares outstanding—basic and diluted (unaudited)(2)</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42,748,817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08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40" w:right="920" w:hanging="432"/>
        <w:spacing w:after="0" w:line="254"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2[J] to our consolidated financial statements for an explanation of the method used to compute basic and diluted net loss per common share.</w:t>
      </w:r>
    </w:p>
    <w:p>
      <w:pPr>
        <w:ind w:left="440" w:right="780" w:hanging="432"/>
        <w:spacing w:after="0" w:line="261"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1[C] to our consolidated financial statements for an explanation of the method used to compute basic and diluted pro forma net loss per common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June 30, 2016</w:t>
            </w:r>
          </w:p>
        </w:tc>
        <w:tc>
          <w:tcPr>
            <w:tcW w:w="0" w:type="dxa"/>
            <w:vAlign w:val="bottom"/>
          </w:tcPr>
          <w:p>
            <w:pPr>
              <w:spacing w:after="0"/>
              <w:rPr>
                <w:sz w:val="1"/>
                <w:szCs w:val="1"/>
                <w:color w:val="auto"/>
              </w:rPr>
            </w:pPr>
          </w:p>
        </w:tc>
      </w:tr>
      <w:tr>
        <w:trPr>
          <w:trHeight w:val="188"/>
        </w:trPr>
        <w:tc>
          <w:tcPr>
            <w:tcW w:w="4080" w:type="dxa"/>
            <w:vAlign w:val="bottom"/>
            <w:vMerge w:val="continue"/>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Cash</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222,650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deficit</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(1,656,788)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6"/>
              </w:rPr>
              <w:t>(20,627,277)</w:t>
            </w:r>
          </w:p>
        </w:tc>
        <w:tc>
          <w:tcPr>
            <w:tcW w:w="0" w:type="dxa"/>
            <w:vAlign w:val="bottom"/>
          </w:tcPr>
          <w:p>
            <w:pPr>
              <w:spacing w:after="0"/>
              <w:rPr>
                <w:sz w:val="1"/>
                <w:szCs w:val="1"/>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(222,650)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(8,598,094)</w:t>
            </w: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3840" w:type="dxa"/>
            <w:vAlign w:val="bottom"/>
          </w:tcPr>
          <w:p>
            <w:pPr>
              <w:jc w:val="right"/>
              <w:ind w:right="20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7191375</wp:posOffset>
            </wp:positionH>
            <wp:positionV relativeFrom="paragraph">
              <wp:posOffset>-1061720</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thereto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 titled “Risk Factors” for a discussion of important factors that could cause actual results to differ materially from the results described in or implied by the forward-looking statements contained in the following discussion and analysis. Our fiscal year ends on March 31.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therapies for women’s health diseases and other endocrine-related disorders. Our lead product candidate is relugolix, an oral, once-daily, small molecule that acts as a gonadotropin-releasing hormone, or GnRH, receptor antagonist. We are advancing relugolix for the treatment of heavy menstrual bleeding associated with uterine fibroids, endometriosis-associated pain and advanced prostate cancer. Relugolix has been evaluated in over 1,300 subjects to date, in Phase 1 and multiple large, randomized Phase 2 clinical trials, some of which are ongoing. These trials have produced favorable results in each indication. In these trials, relugolix was shown to be generally well tolerated and to successfully suppress estrogen and progesterone levels in women and testosterone levels in men. The suppression of estrogen and progesterone levels in women has been shown to effectively treat the symptoms of uterine fibroids and endometriosis, and the suppression of testosterone levels in men has been shown to effectively treat advanced prostate cancer.</w:t>
      </w:r>
    </w:p>
    <w:p>
      <w:pPr>
        <w:spacing w:after="0" w:line="105"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We plan to initiate three multinational Phase 3 clinical programs for relugolix, one in the first quarter of 2017 in women with heavy menstrual bleeding associated with uterine fibroids, a second in the first half of 2017 in women with endometriosis-associated pain, and a third in the first quarter of 2017 in men with advanced prostate cancer. We completed an End of Phase 2 meeting with the FDA for relugolix for the treatment of heavy menstrual bleeding associated with uterine fibroids in early October 2016, and expect to submit our IND, including Phase 3 protocols, for this indication to the FDA in 2016. The commencement of our Phase 3 program in women with endometriosis-associated pain is subject to the completion of an End of Phase 2 meeting with the FDA, which we expect to occur in the first quarter of 2017. We expect to report top-line data from each of these Phase 3 programs in 2019. We plan to develop our second product candidate, RVT-602, for the treatment of female infertility as part of assisted reproduction. In the second half of 2017, we expect to initiate a Phase 1 healthy-volunteer study in women followed by a Phase 2 proof-of-concept trial for RVT-602.</w:t>
      </w:r>
    </w:p>
    <w:p>
      <w:pPr>
        <w:spacing w:after="0" w:line="10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were incorporated in February 2016 and our operations to date have been limited to organizing and staffing our company, acquiring the rights to relugolix and RVT-602 and preparing for and advancing our product candidates into clinical development. To date, we have not generated any revenue. As of June 30, 2016, we had an accumulated deficit of $20,627,277. For the period from February 2, 2016 (date of inception) to March 31, 2016 and for the three months ended June 30, 2016 we recorded net losses of $1,656,788 and $18,970,489,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Takeda Pharmaceuticals International AG</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April 2016, we entered into a license agreement with Takeda in which we were granted an exclusive, royalty-bearing license to develop and commercialize relugolix and RVT-602 and products containing relugolix and RVT-602. The territory for our exclusive license for relugolix covers all countries worldwide, excluding Japan and certain other Asian countries, which we collectively refer to as the Takeda Territory, to which Takeda retains exclusive rights. The territory for our exclusive license for RVT-602 covers all countries worldwide. We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granted to Takeda an exclusive, royalty-bearing license in the Takeda Territory to develop and commercialize relugolix and products containing relugolix for all human diseases and conditions. We will pay a fixed, high single-digit royalty on net sales of relugolix or RVT-602 products in our territory, subject to certain agreed reductions, and Takeda will pay us a royalty at the same high single-digit rate on net sales of relugolix products for prostate cancer in the Takeda Territory, subject to certain agreed reductions. See the section titled “Business—License Agreement with Takeda Pharmaceuticals International AG” for additional information.</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this license agreement with Takeda, we issued 5,077,001 common shares, then equal to 12% of our outstanding share capital, to Takeda pursuant to a subscription agreement, and also issued Takeda a warrant which allows Takeda, together with its affiliates, to maintain a 12% ownership of us through April 29, 2017, the one-year anniversary of the issuance of the warrant, unless earlier terminated as a result of a change in control. We also entered into an investor rights agreement with Takeda and a manufacture and supply agreement with a Takeda affiliate. See the sections titled “Certain Relationships and Related Party Transactions—Relationship with Takeda Pharmaceuticals International AG” and “—Investor Rights Agreement” for further information regarding these agreements and the warrant.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 with Roivant Sciences, Inc.</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2016, we and our wholly-owned subsidiary, Myovant Sciences, Inc., entered into a services agreement with Roivant Sciences, Inc., a wholly-owned subsidiary of Roivant Sciences Ltd., or the Services Agreement, effective April 29, 2016, pursuant to which Roivant Sciences, Inc. provides us with services in relation to the identification of potential product candidates, project management of clinical trials and other development, administrative and financial activities. Under the terms of the Services Agreement, we are obligated to pay or reimburse Roivant Sciences, Inc. for the costs it, or third parties acting on its behalf, incur(s) in providing services to us. In addition, we are obligated to pay to Roivant Sciences, Inc. a pre-determined mark-up, currently equal to 10%, on costs incurred by it in connection with any general and administrative and support services as well as research and development services. Following the closing of this offering, we expect that our reliance on Roivant Sciences, Inc. will decrease over time as we, Myovant Sciences, Inc. and any other future subsidiary of ours continue to hire the necessary personnel to manage the development and potential commercialization of relugolix. See the section titled “Certain Relationships and Related Party Transactions—Relationship with Roivant Sciences, Inc.—Services Agreement”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not generated any revenue, and we do not expect to generate any revenue from the sale of any products unless or until we obtain regulatory approval of and commercialize relugolix or RVT-602.</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our incorporation, our operations have primarily been limited to the license of the rights to relugolix and RVT-602 and products containing these compounds. Our research and development expenses for the three months ended June 30, 2016 were $14,573,014 and consisted primarily of in-process research and development expenses of $13,117,000, which consisted of $7,740,000 for the estimated fair value of the 5,077,001 common shares issued to Takeda and $5,377,000 for the estimated fair value of the warrant liability, as well as share-based compensation expense and costs allocated to us under the Services Agreement, including employee-related services and third-party costs. Following the closing of this offering, we expect to significantly increase our research and development efforts as we initiate our Phase 3 programs for relugolix. Research and development expenses will include:</w:t>
      </w:r>
    </w:p>
    <w:p>
      <w:pPr>
        <w:spacing w:after="0" w:line="26" w:lineRule="exact"/>
        <w:rPr>
          <w:sz w:val="20"/>
          <w:szCs w:val="20"/>
          <w:color w:val="auto"/>
        </w:rPr>
      </w:pPr>
    </w:p>
    <w:p>
      <w:pPr>
        <w:ind w:left="660" w:right="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 for the research and development personnel that we plan to hire;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allocated to us under the Services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consultants that conduct preclinical studies designed to assist with the lead optimization of our product candidate;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costs in connection with conducting preclinical studies;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for sponsored research;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relugolix, generally have higher development costs than those in earlier stages of clinical development, primarily due to the increased size and duration of later-stage clinical trials. We expect our research and development expenses to be significant over the next several years as we increase personnel and compensation costs and commence our potential Phase 3 programs, initiate a Phase 1 healthy-volunteer study in women followed by a Phase 2 proof-of-concept trial for RVT-602 and prepare to seek regulatory approval for our product candidates. It is difficult to determine with certainty the duration and completion costs of any clinical trial we may conduct.</w:t>
      </w:r>
    </w:p>
    <w:p>
      <w:pPr>
        <w:spacing w:after="0" w:line="13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duration, costs and timing of clinical trials of relugolix, RVT-602 and any other product candidates will depend on a variety of factors that include, but are not limited to:</w:t>
      </w:r>
    </w:p>
    <w:p>
      <w:pPr>
        <w:spacing w:after="0" w:line="37"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 patient trial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countries in which the trial is conducted;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receipt of regulatory approvals;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the probability of success for relugolix, RVT-602 and any other product candidate will depend on numerous factors, including competition, manufacturing capability and commercial viability.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General and administrative expenses consist primarily of employee salaries and related benefits and share-based compensation for general and administrative personnel services received under the Services Agreement and legal and accounting fees and consulting services relating to our formation and corporate matters.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NYSE rules and SEC requirements, insurance and investor relations costs. In addition, if relugolix or RVT-602 obtains regulatory approval for marketing, we expect that we would incur expenses associated with building a sales and marketing team.</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February 2, 2016 (Date of Inception) to March 31, 2016 and for the Three Months Ended June 30, 2016</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our results of operations for the period from February 2, 2016 (date of inception) to March 31, 2016 and for the three months ended June 30, 2016.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Period from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February 2, 2016</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to March 31, 2016</w:t>
            </w: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 2016</w:t>
            </w: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14,573,014</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1,656,788</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2,561,878</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2160" w:type="dxa"/>
            <w:vAlign w:val="bottom"/>
            <w:gridSpan w:val="2"/>
          </w:tcPr>
          <w:p>
            <w:pPr>
              <w:jc w:val="right"/>
              <w:ind w:right="940"/>
              <w:spacing w:after="0"/>
              <w:rPr>
                <w:sz w:val="20"/>
                <w:szCs w:val="20"/>
                <w:color w:val="auto"/>
              </w:rPr>
            </w:pPr>
            <w:r>
              <w:rPr>
                <w:rFonts w:ascii="Arial" w:cs="Arial" w:eastAsia="Arial" w:hAnsi="Arial"/>
                <w:sz w:val="18"/>
                <w:szCs w:val="18"/>
                <w:color w:val="auto"/>
              </w:rPr>
              <w:t>1,656,788</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17,134,892</w:t>
            </w: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color w:val="auto"/>
              </w:rPr>
              <w:t>Changes in the fair value of the warrant liability</w:t>
            </w:r>
          </w:p>
        </w:tc>
        <w:tc>
          <w:tcPr>
            <w:tcW w:w="10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(1,832,543)</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(1,656,788)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(18,970,489)</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incur any research and development expenses for the period from February 2, 2016 (date of inception) to March 31, 2016.</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expenses were $14,573,014 for the three months ended June 30, 2016, and consisted primarily of in-process research and development expenses of $13,117,000, which were related to our acquisition of the rights to our product candidates and consisted of $7,740,000 for the estimated fair value of the 5,077,001 common shares issued to Takeda and $5,377,000 for the estimated fair value of warrant liability. The remainder consisted of share-based compensation expense of $974,642 allocated to us by Roivant Sciences Ltd. and costs billed to us under the Services Agreement of $476,374, including personnel expenses and third-party costs associated with the preparation of our clinical and other research programs.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General and administrative expenses were $1,656,788 for the period from February 2, 2016 (date of inception) to March 31, 2016, and consisted primarily of share-based compensation expense of $987,066 and personnel expenses of $441,522 allocated to us from Roivant Sciences, Inc. and Roivant Sciences Ltd. for services provided to us by their employees and $164,116 of legal fees and consulting services associated with the formation of our company and corporate matters.</w:t>
      </w:r>
    </w:p>
    <w:p>
      <w:pPr>
        <w:spacing w:after="0" w:line="13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General and administrative expenses were $2,561,878 for the three months ended June 30, 2016, and consisted of share-based compensation expense of $1,645,860, primarily related to share-based compensation expense allocated to us by Roivant Sciences, Inc. and Roivant Sciences Ltd., and costs of $555,186 billed to us under the Services Agreement, including personnel expenses, overhead allocations and third-party costs. The remainder consisted primarily of legal and professional fees of $278,660 and other personnel related-expenses of $82,172.</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the Fair Value of the Warrant Liability</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change in the fair value of the warrant liability was $1,832,543 as the fair value of the warrant liability increased to $6,975,000 at June 30, 2016 from $5,377,000 at April 29, 2016, the date of issuance of the warrant to Takeda, primarily due to changes in the assumptions regarding probabilities of successful financing events used to estimate the fair value of the liability, partially offset by $234,543 related to the fair value of the warrant exercised during the three months ended June 30, 2016.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period from February 2, 2016 (date of inception) to March 31, 2016 and for the three months ended June 30, 2016, we had net losses of $1,656,788 and $18,970,489, respectively. As of June 30, 2016, we had no cash and had never generated any revenue. These factors raise substantial doubt about our ability to continue as a going concern.</w:t>
      </w:r>
    </w:p>
    <w:p>
      <w:pPr>
        <w:spacing w:after="0" w:line="12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product revenue unless and until we successfully complete development and obtain regulatory approval for relugolix and RVT-602 or any other product candidate. Our net losses may fluctuate significantly from quarter-to-quarter and year-to-year, depending on the timing of our planned clinical trials and our expenditures on other research and development activities. We anticipate that our expenses will increase substantially as we:</w:t>
      </w:r>
    </w:p>
    <w:p>
      <w:pPr>
        <w:spacing w:after="0" w:line="18" w:lineRule="exact"/>
        <w:rPr>
          <w:sz w:val="20"/>
          <w:szCs w:val="20"/>
          <w:color w:val="auto"/>
        </w:rPr>
      </w:pPr>
    </w:p>
    <w:p>
      <w:pPr>
        <w:ind w:left="660" w:right="4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our Phase 3 programs of relugolix for the treatment of heavy menstrual bleeding associated with uterine fibroids, endometriosis-related pain and advanced prostate cancer;</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Phase 1 healthy-volunteer study in women followed by a Phase 2 proof-of-concept trial for RVT-602 for the treatment of female infertility as part of assisted reproduction;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drug development efforts;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drug candidates for which we may obtain regulatory approval;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begin to operate as a public company.</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intend to use the proceeds of this offering primarily to fund the development of relugolix for the treatment of uterine fibroids, endometriosis and advanced prostate cancer. These funds will not be sufficient to enable us to complete all necessary development and commercially launch relugolix. Accordingly, we will be required to obtain further funding through other public or private offerings of our capital stock, debt financing, collaboration and licensing arrangements or other sources. Adequate additional funding may not be available to us on acceptable terms, or at all. If we are unable to raise capital in sufficient amounts or on terms acceptable to us, we may have to significantly delay, scale back or discontinue the development or commercialization of relugolix or potentially discontinue operations.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such time, if ever, as we can generate substantial product revenue from sales of relugolix, RVT-602 or any future product candidate, we expect to finance our cash needs through a combination of equity offerings, debt financings and potential collaboration, license or development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a summary of our cash flows for the period from February 2, 2016 (date of inception) to March 31, 2016 and for the three months ended June 30, 2016: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Period from</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February 2, 2016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to March 31, 2016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2016</w:t>
            </w:r>
          </w:p>
        </w:tc>
      </w:tr>
      <w:tr>
        <w:trPr>
          <w:trHeight w:val="210"/>
        </w:trPr>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period from February 2, 2016 (date of inception) to March 31, 2016, no cash was used in operating activities. The net loss for the period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$1,656,788 was offset by an increase in our accrued expenses primarily attributable to legal and professional fees and consulting services and an allocation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personnel expenses by Roivant Sciences Ltd. and Roivant Sciences, Inc. associated with the formation of our company and corporate matters.</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three months ended June 30, 2016, no cash was used in operating activities. The net loss for the period of $18,970,489 was primarily offset by $13,117,000 of non-cash in-process research and development expenses related to the acquisition of the rights to our product candidates, $2,620,502 non-cash share-based compensation, $1,832,543 non-cash changes in the fair value of the warrant liability and $1,153,378 allocation of personnel expenses by Roivant Sciences Ltd. and Roivant Sciences, Inc. associated with the preparation of our clinical and other research programs, the formation of our company and corporate matters, and $247,066 other expenses.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period from February 2, 2016 (date of inception) to March 31, 2016 and for the three months ended June 30, 2016, no cash was used in investing activities.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the period from February 2, 2016 (date of inception) to March 31, 2016 and for the three months ended June 30, 2016, no cash was provided by financing activities.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Outlook</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Based on the expected net proceeds from this offering, our research and development plans and our timing expectations related to the commencement of our Phase 3 programs for relugolix, we expect that the net proceeds from this offering will enable us to fund our operating expenses and capital expenditure requirements through unblinding and release of data for at least one of our Phase 3 programs, which we expect to occur in 2019. However, we have based this estimate on assumptions that may prove to be wrong, and we could use our capital resources sooner than we expect.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June 30, 2016, we did not have any ongoing material financial commitments, such as lines of credit or guarantees that we expect to affect our liquidity over the next several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some of our costs incurred under our Services Agreement, which costs are charged to research and development and general and administrative expense, as well as assumptions used to estimate the fair value of our common shares and stock awards.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consolidated financial statements appearing elsewhere in this prospectus, we believe the following are the critical accounting policies used in the preparation of our consolidated financial statements that require significant estimates and judgments.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 Valuation</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To estimate certain expenses and record certain transactions, it is necessary for us to estimate the fair value of our common shares. Given the absence of a public trading market, and in accordance with the American Institute of Certified Public Accountants’ Practice Guide, </w:t>
      </w:r>
      <w:r>
        <w:rPr>
          <w:rFonts w:ascii="Arial" w:cs="Arial" w:eastAsia="Arial" w:hAnsi="Arial"/>
          <w:sz w:val="16"/>
          <w:szCs w:val="16"/>
          <w:i w:val="1"/>
          <w:iCs w:val="1"/>
          <w:color w:val="auto"/>
        </w:rPr>
        <w:t>Valuation of Privately-Held-Company</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 Issued as Compensation</w:t>
      </w:r>
      <w:r>
        <w:rPr>
          <w:rFonts w:ascii="Arial" w:cs="Arial" w:eastAsia="Arial" w:hAnsi="Arial"/>
          <w:sz w:val="16"/>
          <w:szCs w:val="16"/>
          <w:color w:val="auto"/>
        </w:rPr>
        <w:t>, our board of directors exercises reasonable judgment and considers numerous objective and subjective factors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best estimate of the fair value of our common shares. See the section titled “—Share-Based Compensation.”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recognize share-based compensation expense related to stock options and restricted stock awards granted to employees based on the estimated fair value of the awards on the date of grant, net of forfeitures. We estimate the grant date fair value, and the resulting share-based compensation expense, using the Black-Scholes option-pricing model. The grant date fair value of the share-based awards is generally recognized on a straight-line basis over the requisite service period, which is generally the vesting period of the respective awards.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recognize share-based compensation expense related to stock options granted to non-employees issued in exchange for services based on the estimated fair value of the awards on the date of grant, net of forfeitures.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estimate the grant date fair value, and the resulting share-based compensation expense, using the Black-Scholes option-pricing model; however, the fair value of the stock options granted to non-employees is remeasured each reporting period until the service is complete, and the resulting increase or decrease in value, if any, is recognized as expense or income, respectively, during the period the related services are rendered.</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share-based awards. These assumptions include:</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Our expected term represents the period that our share-based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Common Share Price</w:t>
      </w:r>
      <w:r>
        <w:rPr>
          <w:rFonts w:ascii="Arial" w:cs="Arial" w:eastAsia="Arial" w:hAnsi="Arial"/>
          <w:sz w:val="18"/>
          <w:szCs w:val="18"/>
          <w:color w:val="auto"/>
        </w:rPr>
        <w:t>. Our board of directors estimates the fair value of our common shares. Given the absence of a public trading market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shares, and in accordance with the American Institute of Certified Public Accountants’ Practice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our board of directors exercises reasonable judgment and considers a number of objective and subjective factors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its best estimate of the fair value of our common shares, as further described below.</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Prior to this offering we were a privately-held company and did not have any trading history for our common shares and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using weighted average measures of implied volatility and the historical volatility of our peer group of companies for a period equal to the expected life of the stock options. Our peer group of publicly-traded biopharmaceutical companies was chosen based on their similar size, stage in the life cycle or area of specialty.</w:t>
      </w:r>
    </w:p>
    <w:p>
      <w:pPr>
        <w:spacing w:after="0" w:line="13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rates paid on securities issued by the U.S. Treasury with a term approximating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the stock options.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We have never paid, and do not anticipate paying, cash dividends on our common shares. Therefore, the expected dividend yield was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to be zero.</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the Black-Scholes assumptions, we estimate our forfeiture rate based on an analysis of our actual forfeitures and will continue to evaluate the adequacy of the forfeiture rate based on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significant component of total share-based compensation expense relates to the Roivant Sciences Ltd. common share awards and options issued by Roivant Sciences Ltd. to its employees and employees of Roivant Sciences, Inc. Share-based compensation expense is allocated to us by Roivant Sciences Ltd. based upon the relative percentage of time utilized by Roivant Sciences, Inc. employees on our matters. The fair value of the Roivant Sciences Ltd. common share awards are determined on the date of grant and that fair value is recognized over the requisite service period. As Roivant Sciences Ltd. is a non-public entity and its common shares are not publicly traded, the common share awards and options are classified as a Level 3 measurement within the fair value hierarchy due to their unobservable nature. Significant judgment and estimates were used to estimate the fair value of these awards and options, as they are not publicly traded. Roivant Sciences Ltd. common share awards and options are subject to specified vesting schedules and requirements (a combination of time-based, performance-based and corporate event-based vesting terms, including targets for post-IPO market capitalization and future financing events of Roivant Sciences Ltd.). We estimated the fair value of each option on the date of grant using the Black-Scholes closed-form option-pricing model.</w:t>
      </w:r>
    </w:p>
    <w:p>
      <w:pPr>
        <w:spacing w:after="0" w:line="1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Prior to this offering, the fair value of our common shares was estimated on each grant date by our board of directors. In order to determine the fair value of our common shares, our board of directors considered, among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 xml:space="preserve">things, timely valuations of our common shares prepared by an unrelated third-party valuation firm in accordance with the guidance provided by the American Institute of Certified Public Accountants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Given the absence of a public trading market for our common shares, our board of directors exercised reasonable judgment and considered a number of objective and subjective factors to determine the best estimate of the fair value of our common shares, including (1) our business, financial condition and results of operations, including related industry trends affecting our operations; (2) our forecasted operating performance and projected future cash flows; (3) the illiquid nature of our common shares;</w:t>
      </w:r>
    </w:p>
    <w:p>
      <w:pPr>
        <w:spacing w:after="0" w:line="2" w:lineRule="exact"/>
        <w:rPr>
          <w:sz w:val="20"/>
          <w:szCs w:val="20"/>
          <w:color w:val="auto"/>
        </w:rPr>
      </w:pPr>
    </w:p>
    <w:p>
      <w:pPr>
        <w:jc w:val="both"/>
        <w:ind w:right="280" w:firstLine="8"/>
        <w:spacing w:after="0" w:line="255"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and privileges of our common shares; (5) market multiples of our most comparable public peers and (6) market conditions affecting our industry. Since the initial fair value of common shares at April 29, 2016, our probabilities of successful financing events and the hiring our chief executive officer have caused an increase in our estimate of the fair value of our common shares.</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this initial public offering and after preliminary discussions with the underwriters, we reassessed the fair value of: (1) 1,128,222 restricted common shares issued to our Principal Executive Officer in June 2016 with a fair value of $1.52 per common share; (2) 602,743 common shares underlying stock options granted in August 2016 to our employees and consultants with an exercise price of $2.38 per common share; and (3) 572,568 common shares underlying stock options granted in September 2016 to our employees and directors with a weighted-average exercise price of $4.00 per common share. As a result, we determined that the reassessed fair value of the restricted common shares was $4.95 per common share and the reassessed fair value of the common shares underlying the stock options granted in August and September 2016 was $13.50 per common share. This reassessment will increase share-based compensation expense commencing in the three months ended September 30, 2016. As of September 30, 2016, we expect to have $20.7 million of total unrecognized share-based compensation cost, which we expect to recognize over a weighted-average period of 3.68 years. We determined that the amount of share-based compensation related to the June 2016 grant was not material to the three months ended June 30, 2016.</w:t>
      </w:r>
    </w:p>
    <w:p>
      <w:pPr>
        <w:spacing w:after="0" w:line="10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After the closing of this offering, our board of directors will determine the fair value of each common share underlying share-based awards based on the closing price of our common shares as reported by the NYSE on the date of grant.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record the warrant liability at its estimated fair value as a liability in our consolidated balance sheets. We remeasure the estimated fair value of the warrant liability each reporting period and record the changes in the estimated fair value in our consolidated statement of operations as other (expense) income. We measure the warrant liability at fair value based on significant inputs not observable in the market, which causes it to be classified as a Level 3 measurement within the fair value hierarchy. The valuation of the warrant liability uses assumptions and estimates we believe would be made by a market participant in making the same valuation. We assess these assumptions and estimates on an ongoing basis as additional data impacting the assumptions and estimates are obtained. Changes in the fair value of the warrant liability related to updated assumptions and estimates are recognized as other expenses in our consolidated statements of operations.</w:t>
      </w:r>
    </w:p>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warrant liability may change significantly as additional data is obtained, impacting our assumptions regarding probabilities of successful financing events used to estimate the fair value of the liability. In evaluating this information, considerable judgment is required to interpret the market data used to develop the assumptions and estimates. The estimates of fair value may not be indicative of the amounts that could be realized in a financing event. Accordingly, the use of different market assumptions or different valuation techniques may have a material effect on the estimated fair value amounts, and such changes could materially impact the our results of operations in future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expense research and development costs as incurred. Clinical study costs are accrued over the service periods specified in the contracts and adjusted as necessary based on an ongoing review of the level of effort and costs actually incurred. Payments for a product license prior to regulatory approval of the product and payments for milestones achieved prior to regulatory approval of the product are expensed in the period incurred as research and development. Milestone payments made in connection with regulatory approvals are capitalized and amortized to cost of revenue over the remaining useful life of the asset. Research and development expenses primarily consist of the intellectual property and research and development materials acquired, certain costs charged by Roivant Sciences, Inc. under the Services Agreement and expenses from third parties who conduct research and development activities on our behalf. We expense in-process research and development projects acquired as asset acquisitions which have not reached technological feasibility and which have no alternative future use. Clinical study costs are accrued over the service periods specified in the contracts and adjusted as necessary based upon an ongoing review of the level of effort and costs actually incurred.</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the intellectual property and inventory we acquired from Takeda had no alternative future use on the date of acquisition, we recorded them as research and development expense at April 29, 2016, the date we entered into the license agreement with Takeda, which consisted of the estimated fair value of the common shares transferred to Takeda and the estimated fair value of warrant liability. Significant judgment and estimates were used to estimate the fair value of common shares and warrant liability, as they are not publicly traded and are considered Level 3 measurement within the fair value hierarchy. The estimation of the fair value of the common shares considered discounted cash flow analyses and relevant industry and comparable public company data.</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 for income taxes in accordance with ASC 740, Income Taxes. Under the assets-and-liability method of ASC 740,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Under ASC 740, the effect on deferred tax assets and liabilities of a change in tax rates is recognized in income in the period that includes the enactment date.</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2016, we did not have any significant uncertain tax positions.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August 2014, the Financial Accounting Standards Board, or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205-40): Disclosure of Uncertainties about an Entity’s Ability to Continue as a Going Concern</w:t>
      </w:r>
      <w:r>
        <w:rPr>
          <w:rFonts w:ascii="Arial" w:cs="Arial" w:eastAsia="Arial" w:hAnsi="Arial"/>
          <w:sz w:val="16"/>
          <w:szCs w:val="16"/>
          <w:color w:val="auto"/>
        </w:rPr>
        <w:t>. ASU No. 2014-15 is intended to define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to evaluate whether there is substantial doubt about an entity’s ability to continue as a going concern and to provide related footnote disclosures. Specifically, ASU No. 2014-15 provides a definition of the term substantial doubt and requires an assessment for a period of one year after the date that the financial statements are issued. It also requires certain disclosures when substantial doubt is alleviated as a result of consideration of management’s plans and requires an express statement and other disclosures when substantial doubt is not alleviated. The new standard will be effective for reporting periods ending after December 15, 2016, with early adoption permitted. We do not expect the adoption of ASU No. 2014-15 will significantly impact our consolidated financial statements and related disclosures.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This amendment will simplify the presentation of deferred tax assets and liabilities on the balance sheet and require all deferred tax assets and liabilities to be treated as non-current. ASU No. 2015-17 is effective for fiscal years, and interim periods within those fiscal years beginning after December 15, 2016, with early adoption permitted. We adopted ASU No. 2015-17. The adoption of ASU No. 2015-17 did not have a significant impact on our consolidated financial statements and related disclosures.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is a comprehensive new lease standard that amends various aspects of existing accounting guidance for leases. The core principle of ASU No. 2016-02 will require lessees to present the assets and liabilities that arise from leases on their balance sheets. ASU No. 2016-02 is effective for annual periods beginning after December 15, 2019, and interim periods within fiscal years beginning after December 15, 2019. Early adoption is permitted. We are currently evaluating the new standard and its impact on our consolidated financial statements and related disclosures.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ASU No. 2016-09 makes several modifications to Topic 718 related to the accounting for forfeitures, employer tax withholding on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We expect to adopt this guidance when effective and are currently evaluating the effect that the updated standard will have on our consolidated financial statements and related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cash or other financial instruments as of June 30,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therapies for women’s health diseases and other endocrine-related disorders. Our lead product candidate is relugolix, an oral, once-daily, small molecule that acts as a gonadotropin-releasing hormone, or GnRH, receptor antagonist. We are advancing relugolix for the treatment of heavy menstrual bleeding associated with uterine fibroids, endometriosis-associated pain and advanced prostate cancer. Relugolix has been evaluated in over 1,300 subjects since 2007, in Phase 1 and multiple large, randomized Phase 2 clinical trials conducted in Japan, North America and the United Kingdom, some of which are ongoing. These trials have produced favorable results in each indication. In these trials, relugolix was shown to be generally well tolerated and to successfully suppress estrogen and progesterone levels in women and testosterone levels in men, consistent with its known mechanism of action.</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plan to initiate two multinational Phase 3 clinical programs for relugolix, one in the first quarter of 2017 in women with heavy menstrual bleeding associated with uterine fibroids and the other in the first half of 2017 in women with endometriosis-associated pain. We completed an End of Phase 2 meeting with the U.S. Food and Drug Administration, or FDA, for relugolix for the treatment of heavy menstrual bleeding associated with uterine fibroids in early October 2016, and expect to submit our investigational new drug application, or IND, including Phase 3 protocols, to the FDA in 2016. The commencement of our Phase 3 program in women with endometriosis-associated pain is subject to an End of Phase 2 meeting with the FDA, which we expect to occur in the first quarter of 2017. Based on a completed End of Phase 2 meeting with the FDA, we also plan to initiate a multinational Phase 3 clinical program for relugolix in men with advanced prostate cancer in the first quarter of 2017. We expect to report top-line data from each of these Phase 3 programs in 2019. We plan to develop our second product candidate, RVT-602, for the treatment of female infertility as part of assisted reproduction. In the second half of 2017, we expect to initiate a Phase 1 healthy-volunteer study in women followed by a Phase 2 proof-of-concept trial for RVT-602. We intend to develop relugolix in additional indications and augment our current pipeline through the acquisition and in-licensing of complementary, clinical-stage product candidates that we believe can be developed and commercialized in a capital-efficient manner.</w:t>
      </w:r>
    </w:p>
    <w:p>
      <w:pPr>
        <w:spacing w:after="0" w:line="11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Relugolix is an oral, once-daily, small molecule that acts as a GnRH receptor antagonist that binds to and inhibits receptors in the anterior pituitary gland. Inhibition of GnRH receptors decreases the release of the gonadotropins, luteinizing hormone, or LH, and follicle-stimulating hormone, or FSH, thereby decreasing the down-stream production of estrogen and progesterone by the ovaries in women and testosterone by the testes in men. This is a clinically-validated mechanism of action, and there is a commercially available injectable GnRH receptor antagonist for the treatment of advanced prostate cancer. The suppression of estrogen and progesterone levels has been shown to effectively treat the symptoms of uterine fibroids and endometriosis, and the suppression of testosterone levels has been shown to effectively treat advanced prostate cancer.</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believe relugolix has the potential to be a best-in-class oral GnRH receptor antagonist for the treatment of heavy menstrual bleeding associated with uterine fibroids and endometriosis-associated pain and both a first-in-class and best-in-class oral GnRH receptor antagonist for the treatment of advanced prostate cancer. We believe relugolix, as a once-daily oral therapy, has the potential to provide a substantial improvement over the current standards of care provided by injectable GnRH agonists and antagonists for women and men. In addition to its ease of administration, relugolix has been observed to offer advantages based on its mechanism of action as a GnRH antagonist rather than a GnRH agonist. In studies conducted to date, relugolix resulted in a rapid decline in LH and FSH, and therefore rapidly suppressed estrogen and progesterone production by the ovaries or testosterone production by the testes. Hormone suppression was achieved more quickly compared with the GnRH agonists, which initially stimulate these hormones and cause a flare or worsening of symptoms. Unlike GnRH agonists such as leuprolide, relugolix is not a depot, or slow-release, formulation and hormone levels return to baseline more rapidly after it is discontinued, providing more control for patients and their physicians. For example, a more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rapid return of hormone levels to baseline could be advantageous in the management of a concurrent illness, the restoration of fertility in women desiring to attempt pregnancy and the restoration of sexual function and energy levels in men.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developing relugolix to be co-administered with low-dose estradiol and progestin as add-back therapy in our target women’s health indications to minimize mineral density loss, a known side effect of estrogen suppression, and improve tolerability. Estradiol is a major estrogen and progestin is a synthetic progestational agent. We intend to commercialize relugolix, if approved, in our target women’s health indications as a fixed-dose combination product, which is a once-daily, single pill containing both relugolix and low-dose estradiol and progestin. We believe relugolix with add-back therapy has the potential to be used longer-term, unlike the currently approved GnRH agonist therapies. The low-dose estradiol and progestin add-back therapy we plan to use is approximately one-fifth of the dose used in traditional, combined oral contraceptive pills. This low dose is well-known to minimize bone mineral density loss in a hypoestrogenic state.</w:t>
      </w:r>
    </w:p>
    <w:p>
      <w:pPr>
        <w:spacing w:after="0" w:line="13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April 2016, we entered into a license agreement with Takeda Pharmaceuticals International AG, or Takeda, through which we acquired the worldwide rights, excluding Japan and certain other Asian countries, to develop and commercialize relugolix. In multiple large, randomized Phase 2 clinical trials conducted by Takeda, relugolix has been shown to be generally well tolerated and to effectively suppress estrogen and progesterone levels in women and testosterone levels in men, consistent with its known mechanism of action. Takeda is currently conducting two Phase 3 trials evaluating relugolix in Japan for the treatment of uterine fibroid-related pain and heavy menstrual bleeding, respectively. Takeda expects to report top-line data from each of these trials in the second half of 2017 and, if these trials are successful, Takeda plans to seek regulatory approval of relugolix for these indications in Japan in 2018. We expect to submit Takeda’s Phase 3 data as part of our new drug application, or NDA, to the FDA for relugolix for the treatment of heavy menstrual bleeding associated with uterine fibroids.</w:t>
      </w:r>
    </w:p>
    <w:p>
      <w:pPr>
        <w:spacing w:after="0" w:line="9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first quarter of 2017, we plan to initiate a multinational Phase 3 program, composed of two replicate clinical trials, for relugolix for the treatment of heavy menstrual bleeding associated with uterine fibroids. We completed an End of Phase 2 meeting with the FDA for this indication in early October 2016, and expect to submit our IND, including Phase 3 protocols, to the FDA in 2016. In the first half of 2017, we also plan to initiate a multinational Phase 3 program, composed of two replicate clinical trials, for relugolix for the treatment of endometriosis-associated pain. The commencement of our Phase 3 program in women with endometriosis-associated pain is subject to an End of Phase 2 meeting with the FDA, which we expect to occur in the first quarter of 2017.</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 double-blind, placebo-controlled Phase 2 clinical trial in 216 women conducted in Japan from 2011 to 2012, relugolix, administered at doses of 10 mg, 20 mg or 40 mg once daily for 12 weeks, markedly decreased menstrual blood loss associated with uterine fibroids. To be included in the trial, women were required to have a baseline menstrual period blood loss score of at least 120 as measured by the Pictorial Blood Assessment Chart, or PBAC, a method for evaluation of menstrual blood loss in clinical trials. A normal menstrual period has a PBAC score of approximately 70. A treatment responder was defined as a woman with a sum of PBAC scores from week 6 through week 12 of less than 10. Of the women enrolled in the relugolix 40 mg once-daily arm, 83.6% were responders and had marked decrease in menstrual blood loss. No women in the placebo arm responded. The result was statistically significant for each treatment arm versus placebo, with the greatest benefit observed at a dose of 40 mg once daily (p&lt;0.0001). P-value is a conventional statistical method for measuring the statistical significance of clinical results. A p-value of 0.05 or less represents statistical significance, meaning there is a less than 1-in-20 likelihood that the observed results occurred by chance. There was a clear dose-dependent response across relugolix treatment arms, including estradiol suppression and the primary efficacy endpoint for heavy menstrual bleeding.</w:t>
      </w:r>
    </w:p>
    <w:p>
      <w:pPr>
        <w:spacing w:after="0" w:line="109"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In a double-blind, placebo-controlled Phase 2 clinical trial in 487 women with endometriosis conducted in Japan from 2011 to 2013, relugolix was administered at doses of 10 mg, 20 mg or 40 mg once daily for 12 weeks. The primary endpoint was the change in pelvic pain from week 8 to week 12 as assessed by visual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analogue scale, or VAS, a patient-reported scale for the quantification of pain. The decline in pain was statistically significant between each dose arm and placebo, with the greatest benefit observed at a dose of 40 mg once daily (p&lt;0.0001). There was a clear dose-dependent relationship across treatment arms.</w:t>
      </w:r>
    </w:p>
    <w:p>
      <w:pPr>
        <w:spacing w:after="0" w:line="4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Uterine fibroids and endometriosis represent large women’s health markets with significant unmet medical need. We estimate approximately 19.0 million women in the United States have uterine fibroids, approximately 5.0 million of whom suffer from symptoms of the disease. Of these women, we estimate approximately 60%, or 3.0 million women in the United States, are inadequately treated by current medical therapy and require further treatment. We estimate approximately 7.5 million women in the United States have endometriosis, approximately 6.0 million of whom suffer from symptoms of the disease. Of these women, we estimate approximately 20%, or 1.2 million women in the United States, are inadequately treated by oral contraceptives and require further treatment.</w:t>
      </w:r>
    </w:p>
    <w:p>
      <w:pPr>
        <w:spacing w:after="0" w:line="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Neither heavy menstrual bleeding associated with uterine fibroids nor endometriosis-associated pain has any curative medical solution. Current medical therapies include non-steroidal anti-inflammatory drugs, or NSAIDs, oral contraceptives and GnRH agonists, as well as danazol for endometriosis only. In moderate-to-severe cases of both diseases, medical therapies have been shown to be generally ineffective or the clinical benefit is hampered by a trade-off between efficacy and safety profiles, with drugs such as GnRH agonists limited to short-term use. Heavy menstrual bleeding associated with uterine fibroids is a leading cause of hysterectomy, resulting in approximately 250,000 hysterectomies per year in the United States alone. Further, approximately 100,000 endometriosis-related hysterectomies in women of reproductive age are performed in the United States each year. Complications arising from hysterectomy are common, with 17% to 25% of women experiencing post-surgical complications, including ureteral injury, bowel injury, bladder injury, hemorrhage or infection. Other surgical procedures such as myomectomy, or surgical removal of the fibroids, and laparoscopic procedures for endometriosis are commonly performed. We believe an oral therapy that could be used longer-term has the potential to enable women to avoid surgical intervention that may result in postoperative complications or complications with future pregnancy or even preclude the potential for future pregnancy.</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 End of Phase 2 meeting in October 2015 for relugolix for the treatment of advanced prostate cancer confirmed that there are no additional clinical trials or nonclinical studies required to support the initiation of a Phase 3 trial, which we intend to initiate in the first quarter of 2017. In two randomized Phase 2 clinical trials in 228 men with advanced prostate cancer conducted in North America and the United Kingdom from 2014 to 2016, relugolix, administered orally for 24 weeks, demonstrated an ability to decrease testosterone to very low levels, commonly referred to as castration levels, and to reduce levels of prostate-specific antigen, or PSA, a key prostate cancer biomarker. These results for relugolix were consistent with those for leuprolide acetate, or leuprolide, a GnRH agonist typically used in ADT, and for degarelix, an injectable GnRH antagonist. Unlike GnRH agonists, relugolix, when orally administered once daily, was shown in these trials to rapidly decrease testosterone levels. In addition, testosterone levels returned to baseline more rapidly after discontinuation of relugolix than after discontinuation of leuprolide or degarelix.</w:t>
      </w:r>
    </w:p>
    <w:p>
      <w:pPr>
        <w:spacing w:after="0" w:line="105"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Prostate cancer is the second most prevalent form of cancer in men and the second leading cause of death due to cancer in men in the United States. According to the National Cancer Institute, approximately 2.9 million men are currently living with prostate cancer in the United States, and approximately 180,000 men are newly diagnosed in the United States each year. Current treatments used when men are first diagnosed with prostate cancer generally include combinations of surgery and radiation therapy. If the disease recurs or spreads beyond the prostate, androgen deprivation therapy, or ADT, is initiated to lower testosterone and block androgen receptor signaling, which helps shrink the cancer. Prostate cancer that recurs and responds to ADT is referred to as advanced prostate cancer. Approximately 650,000 men with advanced prostate cancer are treated with GnRH agonists each year in the United States.</w:t>
      </w:r>
    </w:p>
    <w:p>
      <w:pPr>
        <w:spacing w:after="0" w:line="9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part of our license agreement with Takeda, we also acquired the worldwide rights to RVT-602, our second product candidate. RVT-602 is an oligopeptide kisspeptin analog. Kisspeptin is a naturally-occurring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peptide in humans that plays a key role in egg maturation and ovulation by increasing the release of LH and FSH through the stimulation of GnRH secretion. In the second half of 2017, we plan to initiate a Phase 1 healthy-volunteer study in women followed by a Phase 2 proof-of-concept clinical trial for RVT-602 for the treatment of female infertility as part of assisted reproduction. Approximately 1.5 million assisted reproduction cycles are performed each year worldwide.</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Further, approximately 25% of women suffering from infertility have problems achieving ovulation, including the inability to produce fully-matured eggs or the failure to ovulate, most commonly resulting from hormonal dysfunction in the GnRH-LH/FSH axis. We believe RVT-602 may mimic natural physiology by inducing the release of LH during assisted reproduction, thereby enhancing the likelihood of successful egg maturation and ovulation at the right time during the cycle without the potential for the uncommon but serious side effects associated with current hormone-stimulation treatment options. We believe RVT-602 has the potential to be a safer alternative to human chorionic gonadotropin as a part of assisted reproduction for the treatment of female infertility.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represents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217285" cy="2898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172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Subject to the submission of our IND to the FDA, which we expect to occur in 2016.</w:t>
      </w:r>
    </w:p>
    <w:p>
      <w:pPr>
        <w:ind w:left="220" w:hanging="212"/>
        <w:spacing w:after="0" w:line="221" w:lineRule="auto"/>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Subject to our End of Phase 2 meeting with the FDA, which we expect to occur in the first quarter of 2017.</w:t>
      </w:r>
    </w:p>
    <w:p>
      <w:pPr>
        <w:ind w:left="220" w:hanging="212"/>
        <w:spacing w:after="0" w:line="221"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 End of Phase 2 meeting confirmed that there are no additional clinical trials or nonclinical studies required to support the initiation of a Phase 3 trial.</w:t>
      </w:r>
    </w:p>
    <w:p>
      <w:pPr>
        <w:spacing w:after="0" w:line="1" w:lineRule="exact"/>
        <w:rPr>
          <w:sz w:val="20"/>
          <w:szCs w:val="20"/>
          <w:color w:val="auto"/>
        </w:rPr>
      </w:pPr>
    </w:p>
    <w:p>
      <w:pPr>
        <w:ind w:left="220" w:hanging="212"/>
        <w:spacing w:after="0" w:line="221"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RVT-602 has been evaluated in Phase 1 and Phase 2a clinical trials conducted by Takeda in men for the treatment of prostate cancer and hypogonadotropic hypogonadism, or a state of low testosterone levels. We plan to initiate a Phase 1 healthy-volunteer study in women followed by a Phase 2 proof-of-concept trial.</w:t>
      </w:r>
    </w:p>
    <w:p>
      <w:pPr>
        <w:spacing w:after="0" w:line="1" w:lineRule="exact"/>
        <w:rPr>
          <w:sz w:val="20"/>
          <w:szCs w:val="20"/>
          <w:color w:val="auto"/>
        </w:rPr>
      </w:pPr>
    </w:p>
    <w:p>
      <w:pPr>
        <w:ind w:left="220" w:right="60" w:hanging="212"/>
        <w:spacing w:after="0" w:line="230"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Takeda Territory includes Japan, China, Hong Kong, Indonesia, Korea, Malaysia, Philippines, Singapore, Taiwan, Thailand and Vietnam, including, in each case, the territories and possessions of each of the foregoing.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represents the anticipated near-term milestones for Takeda’s development of relugolix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226175" cy="1680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2617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right="40" w:hanging="212"/>
        <w:spacing w:after="0" w:line="239"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Takeda Territory includes Japan, China, Hong Kong, Indonesia, Korea, Malaysia, Philippines, Singapore, Taiwan, Thailand and Vietnam, including, in each case, the territories and possessions of each of the foregoing.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goal is to be the leading global biopharmaceutical company focused on the innovative treatment of women’s health diseases and other endocrine-related disorders in areas of high unmet medical need, and improve the lives of millions of patients suffering from these diseases. The key elements of our strategy to achieve this goal include the following:</w:t>
      </w:r>
    </w:p>
    <w:p>
      <w:pPr>
        <w:spacing w:after="0" w:line="46" w:lineRule="exact"/>
        <w:rPr>
          <w:sz w:val="20"/>
          <w:szCs w:val="20"/>
          <w:color w:val="auto"/>
        </w:rPr>
      </w:pPr>
    </w:p>
    <w:p>
      <w:pPr>
        <w:ind w:left="660" w:hanging="206"/>
        <w:spacing w:after="0" w:line="283"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relugolix for the treatment of heavy menstrual bleeding associated with uterine fibroids and endometriosis-associated pain. </w:t>
      </w:r>
      <w:r>
        <w:rPr>
          <w:rFonts w:ascii="Arial" w:cs="Arial" w:eastAsia="Arial" w:hAnsi="Arial"/>
          <w:sz w:val="16"/>
          <w:szCs w:val="16"/>
          <w:color w:val="auto"/>
        </w:rPr>
        <w:t>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quarter of 2017, we plan to initiate two replicate multinational Phase 3 trials for relugolix with add-back therapy in women with heavy menstrual bleeding associated with uterine fibroids. In the first half of 2017, we plan to initiate two replicate multinational Phase 3 trials for relugolix co-administered with add-back therapy in women with endometriosis-associated pain. We completed an End of Phase 2 meeting with the FDA for relugolix for the treatment of heavy menstrual bleeding associated with uterine fibroids in early October 2016, and expect to submit our IND, including Phase 3 protocols, to the FDA in 2016. The commencement of our Phase 3 program in women with endometriosis-associated pain is subject to an End of Phase</w:t>
      </w:r>
    </w:p>
    <w:p>
      <w:pPr>
        <w:spacing w:after="0" w:line="1" w:lineRule="exact"/>
        <w:rPr>
          <w:rFonts w:ascii="Arial" w:cs="Arial" w:eastAsia="Arial" w:hAnsi="Arial"/>
          <w:sz w:val="16"/>
          <w:szCs w:val="16"/>
          <w:color w:val="auto"/>
        </w:rPr>
      </w:pPr>
    </w:p>
    <w:p>
      <w:pPr>
        <w:ind w:left="660" w:right="40"/>
        <w:spacing w:after="0" w:line="252" w:lineRule="auto"/>
        <w:rPr>
          <w:rFonts w:ascii="Arial" w:cs="Arial" w:eastAsia="Arial" w:hAnsi="Arial"/>
          <w:sz w:val="16"/>
          <w:szCs w:val="16"/>
          <w:color w:val="auto"/>
        </w:rPr>
      </w:pPr>
      <w:r>
        <w:rPr>
          <w:rFonts w:ascii="Arial" w:cs="Arial" w:eastAsia="Arial" w:hAnsi="Arial"/>
          <w:sz w:val="18"/>
          <w:szCs w:val="18"/>
          <w:color w:val="auto"/>
        </w:rPr>
        <w:t>2 meeting with the FDA, which we expect to occur in the first quarter of 2017. We expect to report top-line data from each of these Phase 3 programs in 2019. If the results of these planned Phase 3 trials are favorable, we intend to submit NDAs to the FDA in 2019 and may submit comparable submissions to other regulatory authorities to obtain marketing approval for relugolix for the treatment of heavy menstrual bleeding associated with uterine fibroids and endometriosis-associated pain, respectively. Takeda is currently conducting two Phase 3 trials in Japan for relugolix for the treatment of uterine fibroid-related pain and heavy menstrual bleeding, respectively, and if the results are favorable, Takeda intends to apply for marketing approval in Japan.</w:t>
      </w:r>
    </w:p>
    <w:p>
      <w:pPr>
        <w:spacing w:after="0" w:line="53" w:lineRule="exact"/>
        <w:rPr>
          <w:rFonts w:ascii="Arial" w:cs="Arial" w:eastAsia="Arial" w:hAnsi="Arial"/>
          <w:sz w:val="16"/>
          <w:szCs w:val="16"/>
          <w:color w:val="auto"/>
        </w:rPr>
      </w:pPr>
    </w:p>
    <w:p>
      <w:pPr>
        <w:ind w:left="660" w:right="100" w:hanging="206"/>
        <w:spacing w:after="0" w:line="298"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relugolix for the treatment of advanced prostate cancer. </w:t>
      </w:r>
      <w:r>
        <w:rPr>
          <w:rFonts w:ascii="Arial" w:cs="Arial" w:eastAsia="Arial" w:hAnsi="Arial"/>
          <w:sz w:val="16"/>
          <w:szCs w:val="16"/>
          <w:color w:val="auto"/>
        </w:rPr>
        <w:t>In the first quarter of 2017, we plan to initiate a multinational Phase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 for relugolix in men with advanced prostate cancer. We expect to report top-line data from this Phase 3 trial in 2019. If the results of this planned Phase 3 trial are favorable, we intend to submit an NDA to the FDA and may submit comparable submissions to other regulatory authorities to obtain marketing approval for relugolix for the treatment of advanced prostate cancer.</w:t>
      </w:r>
    </w:p>
    <w:p>
      <w:pPr>
        <w:spacing w:after="0" w:line="18"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clinical development of RVT-602. </w:t>
      </w:r>
      <w:r>
        <w:rPr>
          <w:rFonts w:ascii="Arial" w:cs="Arial" w:eastAsia="Arial" w:hAnsi="Arial"/>
          <w:sz w:val="18"/>
          <w:szCs w:val="18"/>
          <w:color w:val="auto"/>
        </w:rPr>
        <w:t>In the second half of 2017, we plan to initiate a Phase 1 healthy-volunteer study in women followed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2 proof-of-concept clinical trial of RVT-602 to assess the potential of this oral kisspeptin analog as a treatment to enhance egg maturation in women as part of assisted reproduction, such as in vitro fertilization, or IVF, with a decreased risk of the uncommon but serious side effects associated with current hormone stimulation treatment options.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development of relugolix for additional indications. </w:t>
      </w:r>
      <w:r>
        <w:rPr>
          <w:rFonts w:ascii="Arial" w:cs="Arial" w:eastAsia="Arial" w:hAnsi="Arial"/>
          <w:sz w:val="18"/>
          <w:szCs w:val="18"/>
          <w:color w:val="auto"/>
        </w:rPr>
        <w:t>We intend to explore the development of relugolix for additional indications,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polycystic ovary syndrome and precocious puberty.</w:t>
      </w:r>
    </w:p>
    <w:p>
      <w:pPr>
        <w:spacing w:after="0" w:line="37" w:lineRule="exact"/>
        <w:rPr>
          <w:rFonts w:ascii="Arial" w:cs="Arial" w:eastAsia="Arial" w:hAnsi="Arial"/>
          <w:sz w:val="18"/>
          <w:szCs w:val="18"/>
          <w:color w:val="auto"/>
        </w:rPr>
      </w:pPr>
    </w:p>
    <w:p>
      <w:pPr>
        <w:ind w:left="660" w:right="80" w:hanging="206"/>
        <w:spacing w:after="0" w:line="30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or in-license additional clinical- or commercial-stage product candidates for the treatment of women’s health diseases or endocrine-related disorders in a capital efficient manner. </w:t>
      </w:r>
      <w:r>
        <w:rPr>
          <w:rFonts w:ascii="Arial" w:cs="Arial" w:eastAsia="Arial" w:hAnsi="Arial"/>
          <w:sz w:val="16"/>
          <w:szCs w:val="16"/>
          <w:color w:val="auto"/>
        </w:rPr>
        <w:t>In addition to relugolix and RVT-602, we intend to identify, acquire, develop and commercialize novel,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or commercial-stage product candidates with clinically-validated mechanisms of action in a capital-efficient manner.</w:t>
      </w:r>
    </w:p>
    <w:p>
      <w:pPr>
        <w:spacing w:after="0" w:line="12"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commercial potential of our product candidates. </w:t>
      </w:r>
      <w:r>
        <w:rPr>
          <w:rFonts w:ascii="Arial" w:cs="Arial" w:eastAsia="Arial" w:hAnsi="Arial"/>
          <w:sz w:val="18"/>
          <w:szCs w:val="18"/>
          <w:color w:val="auto"/>
        </w:rPr>
        <w:t>We plan to independently commercialize our product candidates, including relugolix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RVT-602, in the United States and selectively in other territories. Takeda plans to commercialize relugolix in Japan and certain other Asian countries. We may opportunistically seek additional strategic collaborations to maximize the commercial opportunities for our product candidates outside of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Relugolix</w:t>
      </w:r>
    </w:p>
    <w:p>
      <w:pPr>
        <w:spacing w:after="0" w:line="83"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Relugolix is an oral, once-daily, small molecule that acts as a potent antagonist of the GnRH receptor and has a long half-life. The half maximal inhibitory concentration, or IC</w:t>
      </w:r>
      <w:r>
        <w:rPr>
          <w:rFonts w:ascii="Arial" w:cs="Arial" w:eastAsia="Arial" w:hAnsi="Arial"/>
          <w:sz w:val="20"/>
          <w:szCs w:val="20"/>
          <w:color w:val="auto"/>
          <w:vertAlign w:val="subscript"/>
        </w:rPr>
        <w:t>50</w:t>
      </w:r>
      <w:r>
        <w:rPr>
          <w:rFonts w:ascii="Arial" w:cs="Arial" w:eastAsia="Arial" w:hAnsi="Arial"/>
          <w:sz w:val="16"/>
          <w:szCs w:val="16"/>
          <w:color w:val="auto"/>
        </w:rPr>
        <w:t>, of relugolix, a measure of its potency, is 0.12 nanomolar, or nM, and the half-life, or the time when approximately 50% of relugolix is cleared from the body, is 37 to 42 hours. Relugolix binds to receptors in the anterior pituitary gland to inhibit the release of the gonadotropins, LH and FSH, decreasing the production of estrogen and progesterone in the ovaries, and testosterone in the testes. GnRH antagonists such as relugolix exhibit a classical competitive and reversible blockade of GnRH receptors on the cell membrane of the gonadotropic cells in the pituitary and result in rapid lowering of hormone levels. By contrast, approved agents such as GnRH agonists first stimulate the GnRH receptors, thereby initially increasing hormone levels, which can result in an initial worsening of clinical symptoms, known as hormonal flare. After this initial increase, the pituitary eventually becomes desensitized to the stimulation due to down-regulation of the GnRH receptors, ultimately resulting in a decrease in gonadotropin secretion and hormone levels.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women, both LH and FSH regulate the secretion of estrogen and progesterone from the ovaries. Suppression of gonadotropin secretion using GnRH antagonists may be an effective treatment for hormone-dependent gynecological diseases such as uterine fibroids or endometriosis due to the direct and immediate inhibition of GnRH action. Lowering estrogen levels in women has been shown to decrease bleeding from, and the size of, uterine fibroids and reduce the pain associated with endometriosis. GnRH antagonists, such as relugolix, rapidly downregulate the gonadotropin-gonadal axis without the transient increase of gonadotropin secretion and the resulting flare associated with use of GnRH agonists such as leuprolide. Once treatment with relugolix is discontinued, estrogen and progesterone levels have been shown to return to baseline within four weeks, on average.</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men, LH stimulates the production of testosterone by the testes. Testosterone is a strong growth factor for prostate cancer. ADT with a GnRH agonist such as leuprolide is the most commonly used treatment to reduce testosterone levels in advanced prostate cancer. GnRH agonists, when administered continuously, have been shown to suppress testosterone secretion by down-regulating gonadotropin secretion from the pituitary, and thereby slow prostate cancer growth. However, the agonists initially stimulate hormonal production and require co-administration with an anti-androgen such as bicalutamide to prevent flare of symptoms in many men, a treatment known as complete androgen blockade. In contrast, GnRH antagonists directly inhibit production of LH, rapidly decrease testosterone levels, do not result in flare of symptoms and do not require co-administration with an anti-androgen. In men, this rapid decrease in testosterone to very low levels, or chemical castration, coupled with the absence of an initial testosterone flare, may allow men to avoid exacerbation of bone pain, increase in urinary symptoms or development of neurologic evidence of disease. Furthermore, once treatment with relugolix is discontinued, testosterone levels have been shown to return to baseline within four weeks, on average.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oral administration of GnRH antagonists may offer flexibility in dosing duration and regimen for both men and women without the inconvenience or potential discomfort of injectable depot formulations. Additionally, hormone levels have been observed to return to baseline more rapidly after discontinuing oral relugolix compared to GnRH agonist depot formulations.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Relugolix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169545</wp:posOffset>
            </wp:positionV>
            <wp:extent cx="4982845" cy="3121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828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Relugolix</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relugolix has the potential to be a best-in-class oral GnRH receptor antagonist for the treatment of heavy menstrual bleeding associated with uterine fibroids and endometriosis-related pain and both a first-in-class and best-in-class oral GnRH receptor antagonist for the treatment of advanced prostate cancer. We believe relugolix may offer significant advantages over currently approved injectable therapies, as well as therapies in late-stage clinical development, based on the following:</w:t>
      </w:r>
    </w:p>
    <w:p>
      <w:pPr>
        <w:spacing w:after="0" w:line="49" w:lineRule="exact"/>
        <w:rPr>
          <w:sz w:val="20"/>
          <w:szCs w:val="20"/>
          <w:color w:val="auto"/>
        </w:rPr>
      </w:pPr>
    </w:p>
    <w:p>
      <w:pPr>
        <w:ind w:left="660" w:right="40" w:hanging="206"/>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Clinical Benefit with a Favorable Safety Profile. </w:t>
      </w:r>
      <w:r>
        <w:rPr>
          <w:rFonts w:ascii="Arial" w:cs="Arial" w:eastAsia="Arial" w:hAnsi="Arial"/>
          <w:sz w:val="18"/>
          <w:szCs w:val="18"/>
          <w:color w:val="auto"/>
        </w:rPr>
        <w:t>Relugolix has been evaluated in over 1,300 subjects to date, in Phase 1 and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randomized Phase 2 clinical trials, some of which are ongoing. In these trials, relugolix has demonstrated clinical benefit for the treatment of symptoms associated with uterine fibroids and endometriosis and advanced prostate cancer, and was observed to be generally well tolerated, consistent with its mechanism of action.</w:t>
      </w:r>
    </w:p>
    <w:p>
      <w:pPr>
        <w:spacing w:after="0" w:line="48" w:lineRule="exact"/>
        <w:rPr>
          <w:rFonts w:ascii="Arial" w:cs="Arial" w:eastAsia="Arial" w:hAnsi="Arial"/>
          <w:sz w:val="18"/>
          <w:szCs w:val="18"/>
          <w:color w:val="auto"/>
        </w:rPr>
      </w:pPr>
    </w:p>
    <w:p>
      <w:pPr>
        <w:ind w:left="660" w:right="80" w:hanging="206"/>
        <w:spacing w:after="0" w:line="29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Once-Daily, Oral Administration. </w:t>
      </w:r>
      <w:r>
        <w:rPr>
          <w:rFonts w:ascii="Arial" w:cs="Arial" w:eastAsia="Arial" w:hAnsi="Arial"/>
          <w:sz w:val="16"/>
          <w:szCs w:val="16"/>
          <w:color w:val="auto"/>
        </w:rPr>
        <w:t>Based on the existing clinical data, we believe relugolix is the only oral GnRH antagonist in development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potency and half-life necessary to suppress estrogen and progesterone levels in women and testosterone levels in men with once-daily dosing for our target women’s health indications and advanced prostate cancer, respectively. Additionally, we believe once-daily administration of relugolix, if approved, would provide significant advantages over therapies requiring twice-daily doses, such as greater convenience for patients and increased compliance leading to potentially better outcomes.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00" w:hanging="206"/>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Action. </w:t>
      </w:r>
      <w:r>
        <w:rPr>
          <w:rFonts w:ascii="Arial" w:cs="Arial" w:eastAsia="Arial" w:hAnsi="Arial"/>
          <w:sz w:val="18"/>
          <w:szCs w:val="18"/>
          <w:color w:val="auto"/>
        </w:rPr>
        <w:t>In clinical trials conducted to date, relugolix was observed to directly and rapidly decrease the release of LH and FSH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suppress estrogen and progesterone in women and testosterone in men. Further, clinical data to date suggest that relugolix suppresses hormone levels in less than a week and without causing a symptomatic hormonal flare generally associated with GnRH agonists, which take up to three to four weeks to lower hormone levels.</w:t>
      </w:r>
    </w:p>
    <w:p>
      <w:pPr>
        <w:spacing w:after="0" w:line="48"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 Reversal of Hormone Suppression. </w:t>
      </w:r>
      <w:r>
        <w:rPr>
          <w:rFonts w:ascii="Arial" w:cs="Arial" w:eastAsia="Arial" w:hAnsi="Arial"/>
          <w:sz w:val="16"/>
          <w:szCs w:val="16"/>
          <w:color w:val="auto"/>
        </w:rPr>
        <w:t>In a Phase 2 trial, relugolix has been shown to allow hormone levels to return to baseline more rapidly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GnRH antagonist depot formulation, degarelix, after discontinuation. The option of rapid return to baseline hormone levels may be an advantage for patients wanting to eliminate any unwanted effects of hormone suppression. For example, women can quickly discontinue treatment for fertility needs, if desired. The ability to reverse effects may also be beneficial in the treatment of prostate cancer by enabling the more rapid return of testosterone levels during intermittent, as opposed to continuous, testosterone suppression with ADT.</w:t>
      </w:r>
    </w:p>
    <w:p>
      <w:pPr>
        <w:spacing w:after="0" w:line="21" w:lineRule="exact"/>
        <w:rPr>
          <w:rFonts w:ascii="Arial" w:cs="Arial" w:eastAsia="Arial" w:hAnsi="Arial"/>
          <w:sz w:val="16"/>
          <w:szCs w:val="16"/>
          <w:color w:val="auto"/>
        </w:rPr>
      </w:pPr>
    </w:p>
    <w:p>
      <w:pPr>
        <w:ind w:left="660" w:right="160" w:hanging="206"/>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Longer-Term Treatment with Add-Back Therapy. </w:t>
      </w:r>
      <w:r>
        <w:rPr>
          <w:rFonts w:ascii="Arial" w:cs="Arial" w:eastAsia="Arial" w:hAnsi="Arial"/>
          <w:sz w:val="18"/>
          <w:szCs w:val="18"/>
          <w:color w:val="auto"/>
        </w:rPr>
        <w:t>We plan to commercialize relugolix, if approved, for the treatment of heavy menstrual bleeding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uterine fibroids and endometriosis-associated pain as a fixed-dose combination of relugolix with low-dose estradiol and progestin add-back therapy to minimize bone mineral density loss and other hypoestrogenic symptoms, such as hot flash, commonly associated with GnRH agonists and antagonists. We believe this strategy of suppressing estrogen levels with an oral GnRH antagonist and then adding back the appropriate dose of estradiol and progestin to minimize bone mineral density loss may allow longer-term use in women, and thereby potentially avoiding invasive surgical procedures.</w:t>
      </w:r>
    </w:p>
    <w:p>
      <w:pPr>
        <w:spacing w:after="0" w:line="49" w:lineRule="exact"/>
        <w:rPr>
          <w:rFonts w:ascii="Arial" w:cs="Arial" w:eastAsia="Arial" w:hAnsi="Arial"/>
          <w:sz w:val="18"/>
          <w:szCs w:val="18"/>
          <w:color w:val="auto"/>
        </w:rPr>
      </w:pPr>
    </w:p>
    <w:p>
      <w:pPr>
        <w:ind w:left="660" w:right="160" w:hanging="206"/>
        <w:spacing w:after="0" w:line="294"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Fixed-Dose Combination. </w:t>
      </w:r>
      <w:r>
        <w:rPr>
          <w:rFonts w:ascii="Arial" w:cs="Arial" w:eastAsia="Arial" w:hAnsi="Arial"/>
          <w:sz w:val="16"/>
          <w:szCs w:val="16"/>
          <w:color w:val="auto"/>
        </w:rPr>
        <w:t>We are developing relugolix to be co-administered with hormone add-back therapy in a single pill, taken once daily.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a fixed-dose combination therapy offers the potential to enhance patient compliance. In addition, we believe that a fixed-dose combination may potentially improve patient outcomes by ensuring that the add-back therapy is always taken to address known class side effects, such as bone mineral density loss and hot flash. Finally, we believe that a fixed-dose combination product may offer a meaningful commercial benefit by distinguishing from competitive products that cannot be administered as one combination pill, once daily.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Women’s Health Indications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Uterine Fibroids Overview</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Uterine fibroids are non-cancerous tumors composed of smooth muscle and fibrous connective tissue that develop in or on the walls of the uterus. In addition to an individual’s genetic predisposition, estrogens, progesterone and human growth hormone all play important roles in the regulation of fibroid growth. Although uterine fibroids are benign tumors that are often asymptomatic, they can cause debilitating symptoms such as abnormal uterine bleeding, heavy or painful periods, anemia, abdominal pain, backache, increased abdominal girth and bloating, urinary frequency or retention, constipation or painful defecation, pregnancy loss, painful intercourse and, in some cases, infertility. These symptoms can also lead to social embarrassment.</w:t>
      </w:r>
    </w:p>
    <w:p>
      <w:pPr>
        <w:spacing w:after="0" w:line="10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Uterine fibroids are among the most common reproductive tract tumors in women. We estimate approximately 5.0 million women in the United States suffer from symptomatic uterine fibroids, approximately 3.0 million of whom are inadequately treated by current medical therapy and require further treatment.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Endometriosis Overview</w:t>
      </w:r>
    </w:p>
    <w:p>
      <w:pPr>
        <w:spacing w:after="0" w:line="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Endometriosis is a gynecological medical condition in which cells from the lining of the uterus grow outside the uterine cavity, most commonly on the ovaries. The uterine cavity is normally lined with endometrial cells that are under the influence of estrogen and progesterone, which cause the cells to grow, differentiate and shed on a monthly basis. Endometriosis lesions outside the uterus exhibit a pattern of hormonal responsiveness similar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that of the lining of the uterus. During the menstrual cycle, the lesions grow, differentiate and shed into the abdomen, thereby inducing a cascade of inflammatory events that may lead to non-menstrual pelvic pain, pain during menstruation, painful intercourse and, in some cases, infertility.</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According to the Endometriosis Foundation, endometriosis affects an estimated 1-in-10 women during their reproductive years. We estimate that approximately 6.0 million women in the United States suffer from symptomatic endometriosis, approximately 1.2 million of whom are inadequately treated by oral contraceptives and require additional treatment.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 Epidemiology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169545</wp:posOffset>
            </wp:positionV>
            <wp:extent cx="4905375" cy="2332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0537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Landscape for Women’s Health Indications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Uterine Fibroids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current approach to treating uterine fibroids includes both medical and surgical options. The choice of treatment approach is dependent on factors such as the patient’s desire to become pregnant in the future, the importance of uterine preservation, symptom severity and tumor characteristics. Medical options include oral contraceptives and GnRH agonists. GnRH agonists are used for short-term therapy and may involve low-dose estradiol and progestin hormone add-back therapy to minimize bone mineral density loss generally associated with GnRH agonists. Surgical intervention, such as myomectomy or hysterectomy, are often used to treat the heavy bleeding and symptoms associated with uterine fibroids; however, these procedures may result in post-operative complications or complications with future pregnancy or even preclude the potential for future pregnancies. Even if a future pregnancy is not desired, many women prefer to avoid surgical intervention. However, heavy menstrual bleeding associated with uterine fibroids is a leading cause of hysterectomy, resulting in approximately 250,000 hysterectomies per year in the United States alone.</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Lowering estrogen levels decreases the size of uterine fibroids and associated bleeding. Two classes of drugs commonly used for the treatment of heavy menstrual bleeding associated with uterine fibroids in the United States: oral contraceptives, which include estrogen and/or progesterone, and GnRH agonists. The current standard of care for the treatment of patients with mild symptoms includes the use of oral contraceptives 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NSAIDs which are generally prescribed at the time of initial diagnosis. These therapeutic options, however, often do not provide sufficient relief to patients with moderate-to-severe symptoms, who require additional treatment to relieve excessive bleeding and pain.</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Leuprolide, marketed as Lupron by AbbVie, is currently the only GnRH agonist approved by the FDA for the management of endometriosis and the pre-operative treatment of patients with anemia caused by uterine fibroids, when co-administered with iron. Leuprolide is also marketed as Leuplin by Takeda in Japan for the treatment of uterine fibroid-related pain and heavy menstrual bleeding. In each case, leuprolide is only indicated for short-term use of six months or less due to the bone mineral density loss associated with longer-term use. Ulipristal acetate, or ulipristal, a selective progesterone receptor modulator, is marketed by Gedeon Richter in Europe as Esmya and as Fibristal in Canada for preoperative treatment of moderate-to-severe symptoms of uterine fibroids. Esmya recently received approval from the European Medicines Agency, or EMA, for the long-term management of uterine fibroid-related symptoms.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Endometriosis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Similar to uterine fibroids, lowering estrogen levels has been shown to reduce pain associated with endometriosis, and there are a variety of medical and surgical treatments available. Initial treatment usually involves over-the-counter pain medications, including NSAIDs, because pain is the primary symptom. In more severe cases, GnRH agonists are used for short-term treatment and may involve hormone add-back therapy, similar to the use of GnRH agonists for the treatment of uterine fibroids. The FDA has approved Lupaneta Pack, or leuprolide administered with norethindrone acetate, or NETA, 5 mg, to treat pain associated with endometriosis while minimizing bone mineral density loss. For many patients, surgical intervention is ultimately undertaken to relieve pain. After treatment with hormone therapy or conservative surgery, such as ablation of endometriotic lesions, recurrence of endometriosis and related symptoms is common. Approximately 100,000 endometriosis-related hysterectomies are performed each year in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Treatments in Development for Women’s Health Indications</w:t>
      </w:r>
    </w:p>
    <w:p>
      <w:pPr>
        <w:spacing w:after="0" w:line="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AbbVie, in conjunction with Neurocrine Biosciences, is developing an oral GnRH receptor antagonist, elagolix, as a treatment for moderate-to-severe endometriosis-associated pain and for heavy menstrual bleeding associated with uterine fibroids. AbbVie has reported data from two Phase 3 trials in endometriosis and expects to receive FDA marketing approval for that indication in 2018.</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January 2015, AbbVie announced results from its first Phase 3 trial for elagolix in 872 women with moderate-to-severe endometriosis-associated pain. Elagolix doses of 150 mg once daily and 200 mg twice daily were evaluated, and both met the trial’s co-primary endpoints (p&lt;0.001) of reducing scores of non-menstrual pelvic pain and menstrual pain at three and six months, as measured by the Daily Assessment of Endometriosis Pain scale (previously referred to as the modified Biberoglu and Behrman Score). This scale is a daily questionnaire about menstrual and non-menstrual pelvic pain and painful intercourse administered to patients using an electronic diary. Responder rates at six months for menstrual pain or non-menstrual pelvic pain, respectively, were 23.1% and 34.9% for placebo, 42.1% and 45.7% for elagolix 150 mg once daily, and 75.3% and 62.1% for elagolix 200 mg twice daily. The most common adverse events were hot flash, headache, nausea and fatigue. Women in the placebo arm had a 0.53% increase in bone mineral density at six months, compared with a 0.32% and 2.64% loss in bone mineral density at six months in the elagolix 150 mg once-daily and 200 mg twice-daily arms, respectively.</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2016, AbbVie announced top-line results from its second, similarly designed Phase 3 trial for elagolix. After six months of continuous treatment, both doses of elagolix (150 mg once daily and 200 mg twice daily) met the trial’s co-primary endpoints of reducing scores of non-menstrual pelvic pain and menstrual pain associated with endometriosis, at three and six months, as measured by the Daily Assessment of Endometriosis Pain scale. Responder rates from this second Phase 3 trial were consistent with results from AbbVie’s first Phase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3 trial. Women in the placebo arm had a 0.49% increase in bone mineral density at six months, compared with a 0.71% and 2.45% loss in bone mineral density at six months in the elagolix 150 mg once-daily and 200 mg twice-daily arms, respectively.</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AbbVie has initiated a Phase 3 program evaluating elagolix 300 mg twice daily, with and without hormone add-back therapy with estradiol and NETA, or E2/NETA, compared with placebo in women with heavy menstrual bleeding associated with uterine fibroids. In addition, AbbVie is expected to commence a Phase 3b trial of elagolix in combination with E2/NETA in women with pain associated with endometriosis by the end of this year.</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AbbVie recently reported data from a Phase 2b trial evaluating elagolix 300 mg twice daily and elagolix 300 mg twice daily in combination with E2/NETA compared with placebo in women with heavy menstrual bleeding associated with uterine fibroids. A responder was defined as a woman with a blood loss less than 80 mL with at least a 50% improvement in blood loss from baseline, as assessed by the alkaline hematin method. In this trial, 91.9% of women in the 300 mg twice-daily arm and 79.0% of women in the 300 mg twice daily in combination with E2/NETA arm responded compared to 26.6% of women in the placebo arm. In this six-month Phase 2b trial, bone mineral density loss was 3.59% in the elagolix 300 mg twice-daily arm and 0.12% in the elagolix 300 mg twice-daily in combination with E2/NETA arm compared to bone mineral density increase of 0.78% in the placebo arm.</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ObsEva SA, or ObsEva, is developing OBE2109, an oral GnRH antagonist for the treatment of endometriosis and uterine fibroids. ObsEva in-licensed OBE2109 from Kissei Pharmaceutical Company, Ltd., a Japanese company, and is initiating a Phase 2 clinical trial evaluating multiple doses in women with endometriosis and may start a Phase 3 study in women with uterine fibroids in the first quarter of 2017. ObsEva has not publicly discussed using hormone add-back therapy as part of its current clinical trial design.</w:t>
      </w:r>
    </w:p>
    <w:p>
      <w:pPr>
        <w:spacing w:after="0" w:line="130"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Allergan owns the rights to ulipristal in the United States. In May 2016, Allergan announced results from one of two Phase 3 clinical trials evaluating the efficacy and safety of ulipristal in uterine fibroids. The trial included 101 women randomized to ulipristal at 5 mg or 10 mg once daily, or 56 to placebo for a 12-week course, or one cycle, followed by a 12-week treatment-free period. The study met all co-primary and secondary endpoints with both ulipristal arms achieving significant results over placebo. The co-primary endpoints were percentage of patients with absence of uterine bleeding and time to absence of uterine bleeding. The most common side effects of ulipristal treatment in this study were hypertension, increased blood creatine phosphokinase, hot flash and</w:t>
      </w:r>
    </w:p>
    <w:p>
      <w:pPr>
        <w:spacing w:after="0" w:line="2"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acne. Allergan expects to report results of their second Phase 3 clinical trial in late 2016 and is expected to file an NDA with the FDA in 2017. Ulipristal is only being evaluated in the United States as a cyclic therapy for short-term use due to concerns related to endometrial effects. Other side effects of ulipristal include hot flash, headache, functional ovarian cysts, vertigo, nausea, acne, sweating, muscle pain and tiredness.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Solution for Women’s Health Indications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goal is to develop and commercialize relugolix for women with uterine fibroids or endometriosis as a once-daily, fixed-dose combination of relugolix and low-dose estradiol and progestin, with the same dose for each indication. We believe a once-daily, single-pill fixed-dose combination product would offer substantial improvement to the current injectable depot GnRH agonists that are the current standard of care for the treatment of uterine fibroids and endometriosis. For example, we believe relugolix with add-back therapy has the potential for longer-term use in women because treatment duration will not be limited by bone mineral density loss, a common side effect associated with GnRh agonists.</w:t>
      </w:r>
    </w:p>
    <w:p>
      <w:pPr>
        <w:spacing w:after="0" w:line="10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Several randomized clinical trials have validated the approach of suppressing estrogen levels with a GnRH agonist and adding back low-dose estrogen and/or progestin to improve safety and tolerability. These results are consistent with the “estrogen hypothesis,” which suggests that different tissue types have different sensitivities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estrogen. Takeda conducted or funded two trials supporting this hypothesis, one from 1993 to 1997 and a second from 1997 to 2000. Third-party investigators completed a third trial supporting this hypothesis in 2013. As shown in the diagram below, we believe that at estradiol concentrations between 30-50 pg/mL, the majority of symptomatic benefits associated with estrogen suppression are preserved, while side effects, including bone mineral density loss, are minimized. We believe that relugolix administered as a once-daily, single-pill fixed-dose combination product with hormone add-back therapy will achieve this estradiol target in a majority of women. With the hormone add-back therapy, we intend to maximize clinical benefit with an acceptable safety profile to provide women with the option of longer-term medical therapy as an alternative to invasive surgical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133350</wp:posOffset>
            </wp:positionV>
            <wp:extent cx="5188585" cy="30270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8858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Source: Barbieri, Am J Obstet Gyn, 1992</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Relugolix has been shown to rapidly suppress estrogen and progesterone levels in women, avoiding the initial increase in these hormones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accompanying flare of clinical symptoms, such as an increase in menstrual bleeding, frequently observed following initiation of treatment with a GnRH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agonist. Further, relugolix may allow hormone levels to return to baseline more rapidly than degarelix, after the drug is discontinued. The option of rapid return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baseline hormone levels may be a significant advantage for patients wanting to eliminate any unwanted effects of hormone suppression. An oral, once-daily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GnRH receptor antagonist such as relugolix may provide patients and their physicians with more control. For example, more rapid return of hormonal levels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baseline could be advantageous in the management of a concurrent illness, the restoration of fertility for women desiring to attempt pregnancy or the restoration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sexual function and energy levels in men. Accordingly, we believe there is a significant opportunity to both improve clinical outcomes and address known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safety and tolerability issues generally associated with GnRH agonists.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graphs show mean serum estradiol concentrations following initiation and discontinuation of administration of placebo, relugolix 40 mg or leuprolide treatment. The first graph shows the mean serum estradiol at baseline, which in this analysis was immediately prior to the start of treatment, and at two weeks after the start of treatment. In this analysis, the mean serum estradiol concentration in women treated with relugolix, which as a GnRH antagonist directly suppresses estradiol levels, decreased after two weeks of treatment. The mean estradiol concentration in women treated with leuprolide, which as a GnRH agonist first stimulates and then suppresses estradiol levels, remained similar to the mean estradiol concentration observed in women administered placebo after two weeks of treatment. The second graph shows the mean serum estradiol at baseline, which in this analysis was at the end of a 24-week treatment period, and at four weeks after the discontinuation of treatment. The baseline shows that both relugolix and leuprolide suppressed estradiol to very low levels after 24 weeks of treatment. In this analysis, relugolix was observed to have faster reversal of estradiol suppression as compared to leuprolide, resulting in a mean serum estradiol concentration similar to the mean serum estradiol concentration observed in women administered placebo four weeks after discontinuation of treatment. Estradiol levels in women of reproductive age fluctuate between 50 pg/mL and 275 pg/mL during the normal menstrual cycle. No statistical comparisons were conducted. This analysis of serum estradiol concentrations was performed by third-party investigators in connection with Takeda’s completed Phase 2 trial for relugolix for the treatment of endometriosis-related pelvic pain described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Serum Estradiol Following Treatment Initiation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117475</wp:posOffset>
            </wp:positionV>
            <wp:extent cx="5179695" cy="1612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7969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Serum Estradiol Following Treatment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117475</wp:posOffset>
            </wp:positionV>
            <wp:extent cx="5162550" cy="1560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6255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3 Clinical Development for Women’s Health Indications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first quarter of 2017, we plan to initiate a multinational Phase 3 program, composed of two replicate clinical trials, for relugolix for the treatment of heavy menstrual bleeding associated with uterine fibroids. We completed an End of Phase 2 meeting with the FDA for this indication in early October 2016, and expect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submit our IND, including Phase 3 protocols, to the FDA in 2016. In the first half of 2017, we also plan to initiate a multinational Phase 3 program, composed of two replicate clinical trials, for relugolix for the treatment of endometriosis-associated pain. In 2007, Takeda submitted an IND for relugolix (also known as TAK-</w:t>
      </w:r>
    </w:p>
    <w:p>
      <w:pPr>
        <w:jc w:val="both"/>
        <w:ind w:right="220" w:firstLine="8"/>
        <w:spacing w:after="0" w:line="302" w:lineRule="auto"/>
        <w:tabs>
          <w:tab w:leader="none" w:pos="3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FDA for the treatment of endometriosis and, in May 2016, Takeda transferred this IND to us. We expect to hold an End of Phase 2 meeting with the FDA in the first quarter of 2017 to request confirmation that there are no additional clinical trials or nonclinical studies required to support the initiation of our Phase 3 program for endometriosis and that our planned trials, if successful, will be sufficient to support the submission of an NDA in that indication.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Takeda Phase 3 Clinical Development for Uterine Fibroids</w:t>
      </w:r>
    </w:p>
    <w:p>
      <w:pPr>
        <w:spacing w:after="0" w:line="77"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Takeda is currently conducting two Phase 3 trials with relugolix in Japan for the treatment of uterine fibroid-associated pain and heavy menstrual bleeding, respectively. The first trial is a multicenter, randomized, double-blind study evaluating relugolix 40 mg once daily for 12 weeks versus placebo in 64 women having at least moderate pain symptoms associated with uterine fibroids. The primary endpoint is the proportion of women with a maximum Numerical Rating Scale score, or score on a patient reported assessment of pain, of one or less during the 28 days before the final dose of study drug at week 12. The second study is a multi-center, randomized, double-blind non-inferiority study to evaluate the efficacy and safety of relugolix in 288 women with symptomatic uterine fibroids. Relugolix 40 mg once daily will be administered for 24 weeks, compared with leuprolide administered by subcutaneous injection every four weeks at a dose of</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1.88 mg or 3.75 mg. The primary endpoint will be the proportion of women who receive a total score of less than 10 on the PBAC, the same endpoint used in the Phase 2 trial.</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Preliminary data from these trials are currently anticipated in the second half of 2017. These Phase 3 data will be available to us, and may be used to support our NDA. If Takeda’s Phase 3 program for uterine fibroid-related pain and heavy menstrual bleeding is successful, Takeda plans to seek regulatory approval of relugolix in Japan for the treatment of uterine fibroid-related pain and heavy menstrual bleeding in 2018. Prior to our acquisition of the rights to develop and commercialize relugolix, if approved, for the treatment of heavy menstrual bleeding associated with uterine fibroids in the United States, Takeda had not submitted an IND for relugolix to the FDA for this indication. We will be solely responsible for obtaining FDA approval for relugolix for the treatment of heavy menstrual bleeding associated with uterine fibroids.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Planned Phase 3 Program for Uterine Fibroids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two proposed replicate Phase 3 clinical trials in women with heavy menstrual bleeding associated with uterine fibroids will randomize women to one of three arms using 1:1:1 randomization. Women will receive treatment with relugolix 40 mg once daily co-administered with commercially available low-dose hormone add-back therapy for 24 weeks, relugolix 40 mg once daily monotherapy for 12 weeks followed by relugolix 40 mg once daily co-administered with hormone add-back therapy for an additional 12 weeks, or placebo once daily for a period of 24 weeks. All patients completing the initial 24-week period will be offered an active treatment extension with relugolix 40 mg once daily co-administered with hormone add-back therapy for an additional 24-week period, or a total treatment period of 48 weeks, to evaluate the safety of long-term treatment. Each of the two replicate trials is expected to enroll approximately 390 women, with 130 women in each active treatment arm and 130 women in the placebo arm.</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primary efficacy endpoint for these trials is expected to be the percentage of responders with less than 80 mL uterine blood loss per menstrual cycle and at least a 50% reduction from baseline to last month of treatment in menstrual blood volume as measured by the alkaline hematin method, a quantitative measurement of menstrual blood loss. The secondary efficacy endpoints are expected to include the change from baseline in hemoglobin, the reduction in uterine and fibroid volume and pain reduction. Safety, including bone mineral density changes as measured by dual-energy x-ray absorptiometry, will be assessed. If the results of these trials are favorable, we intend to submit an NDA to the FDA in 2019. We expect the safety database at the time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NDA submission to be sufficient to support dosing for 12 months or longer. We will conduct a bridging study to demonstrate bioequivalence of the fixed-dose combination of relugolix with low-dose estradiol and progestin to co-administered relugolix with low-dose estradiol and progestin. We may conduct additional clinical trials to further support the commercial potential of relugolix in uterine fibroids in the United States and other major markets.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graphic represents the anticipated trial design for each of our two replicate Phase 3 trials for relugolix for the treatment of heavy menstrual bleeding associated with uterine fibroids: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Anticipated Phase 3 Trial Design for Relugolix for the Treatment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Heavy Menstrual Bleeding Associated with Uterine Fibroids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5111115" cy="21012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1111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Planned Phase 3 Program for Endometriosis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two proposed replicate Phase 3 clinical trials in women with endometriosis-associated pain will randomize women to one of three arms using 1:1:1 randomization. Women will receive treatment with relugolix 40 mg once daily co-administered with commercially-available, low-dose hormone add-back therapy for 24 weeks, relugolix 40 mg once daily monotherapy for 12 weeks followed by relugolix 40 mg once daily co-administered with hormone add-back therapy for an additional 12 weeks, or placebo once daily for a period of 24 weeks. All women completing the initial 24-week period will be offered an active treatment extension with relugolix 40 mg once daily co-administered with hormone add-back therapy for an additional 24 weeks, or a total treatment period of 48 weeks, to evaluate the safety of long-term treatment. Each of the two replicate trials is expected to enroll approximately 600 women, with 200 women in each active treatment arm and 200 women in the placebo arm.</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co-primary efficacy endpoints for these trials is expected to be the percentage of responders with reductions in non-menstrual pelvic pain and menstrual pain, as assessed by an endometriosis-specific patient questionnaire administered daily. Secondary endpoints will include additional questionnaires assessing endometriosis-specific pain and quality of life, and the use of pain medications to treat endometriosis. Safety, including bone mineral density changes as measured by dual-energy x-ray absorptiometry, will be assessed. If the results of these trials are favorable, we intend to submit an NDA to the FDA in 2019. We expect the safety database at the time of NDA submission to be sufficient to support dosing for 12 months or longer. If not already completed for the uterine fibroid indication, we will conduct a bridging study to demonstrate bioequivalence of the fixed-dose combination of relugolix with low-dose estradiol and progestin to co-administered relugolix with low-dose estradiol and progestin. We may conduct additional clinical trials to further support the commercial potential of relugolix in endometriosis in the United States and other major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graphic represents the anticipated trial design for each of our two replicate Phase 3 trials for relugolix for the treatment of endometriosis-associated pain: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Anticipated Phase 3 Trial Design for Relugolix for the Treatment of</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Endometriosis-Associated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101600</wp:posOffset>
            </wp:positionV>
            <wp:extent cx="5111115" cy="2195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1111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1 Pharmacokinetic and Pharmacodynamic Trial for Relugolix with Add-Back Therapy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completed a six-week Phase 1 clinical trial in 48 healthy premenopausal women, evaluating the pharmacokinetics and pharmacodynamics of relugolix 40 mg administered with and without add-back therapy. The add-back therapy used in this Phase 1 clinical trial, 1 mg estradiol and 0.5 mg norethindrone acetate, is the same low-dose estradiol and progestin add-back therapy that we intend to use in each of our planned Phase 3 trials. In this Phase 1 clinical trial, the plasma concentrations of relugolix and add-back therapy were measured, as well as LH, FSH, estradiol, and progesterone levels. Early biomarkers of bone mineral density loss were also assessed.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graphic represents the trial design for our Phase 1 pharmacokinetic and pharmacodynamics trial for relugolix with add-back therapy:</w:t>
      </w:r>
    </w:p>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1 Pharmacokinetic and Pharmacodynamic Trial Design</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Relugolix with Add-Back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101600</wp:posOffset>
            </wp:positionV>
            <wp:extent cx="3138805" cy="1012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3880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Commercially available low-dose estradiol and progestin.</w:t>
      </w:r>
    </w:p>
    <w:p>
      <w:pPr>
        <w:spacing w:after="0" w:line="8" w:lineRule="exact"/>
        <w:rPr>
          <w:sz w:val="20"/>
          <w:szCs w:val="20"/>
          <w:color w:val="auto"/>
        </w:rPr>
      </w:pPr>
    </w:p>
    <w:p>
      <w:pPr>
        <w:ind w:left="220" w:right="220" w:hanging="212"/>
        <w:spacing w:after="0" w:line="216" w:lineRule="auto"/>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Primary endpoints include steady-state pharmacokinetic parameters of relugolix, estradiol, norethindrone and ethinyl estradiol; area under the concentration-time curve; predose concentration, average concentration, maximum concentration, time to maximum concentration and elimination half-life of relugolix. Secondary endpoints include safety and tolerability parameters and hot flash.</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Estradiol levels were sampled before doses of relugolix to determine the median trough plasma concentrations of estradiol in women receiving relugolix with or without add-back therapy. The median pre-dose estradiol trough levels are depicted below in graph on the left. The median pharmacokinetic profiles of estradiol at week 3 in women receiving relugolix with or without hormone add-back therapy are presented below in the graph on the right. These data demonstrate that the trough levels are above the desired target minimum estradiol concentration of 20 pg/mL. The pharmacokinetic profile of estradiol demonstrates the achievement of estradiol levels throughout the day in the target range of 20 to 50 pg/mL.</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this Phase 1 clinical trial, this hormone add-back therapy achieved estradiol levels above 20 pg/mL, the level demonstrated to protect women from bone mineral density loss, yet generally below 50 pg/mL, which we believe will maximize the benefit of low estrogen levels on the heavy menstrual bleeding associated with uterine fibroids and endometriosis-associated pain. We believe this strategy of maximal estrogen suppression coupled with adding back low-dose estradiol and progestin may preserve much of relugolix’s clinical benefit while minimizing bone mineral density loss and improving tolerability, thereby potentially enabling longer-term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147320</wp:posOffset>
            </wp:positionV>
            <wp:extent cx="5188585" cy="2040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8858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Data shown are preliminary and subject to further analysis.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Existing Clinical Data in Women’s Health Indications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Uterine Fibroids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Takeda completed a Phase 2 clinical trial (TAK-385/CCT-001) in women with uterine fibroids in Japan. A total of 216 women were randomized to relugolix at doses of 10 mg, 20 mg or 40 mg once daily administered orally, or placebo, each administered for 12 weeks. The following graphic represents the trial design for TAK-385/CCT-001:</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Trial Design for Completed Phase 2 Trial for Relugolix for the Treatment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Heavy Menstrual Bleeding Associated with Uterine Fibroids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161290</wp:posOffset>
            </wp:positionV>
            <wp:extent cx="3944620" cy="2023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4462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Phase 2 trial demonstrated dose-dependent decreases in menstrual blood loss and an increase in mean blood hemoglobin concentration, and suggested a reduction in fibroid and uterine volumes as compared with placebo. To be included in the trial, women were required to have a baseline PBAC score of at least 120, confirming heavy menstrual bleeding, in addition to uterine fibroids confirmed by ultrasound, magnetic resonance imaging, computed tomography or laparoscopy. A responder for the primary endpoint analysis was defined as a patient with a sum of PBAC scores from week 6 through week 12 of less than 10. In the relugolix 40 mg once-daily dose arm, 83.6% of women were responders and had marked decrease in menstrual blood loss compared with 0% in the placebo arm (p&lt;0.0001). Further, in the 40 mg once-daily arm, 72.7% of women achieved amenorrhea from week 6 through week 12 compared with 0% in the placebo arm. Although all doses evaluated (10 mg, 20 mg and 40 mg once daily) demonstrated significant improvements in menstrual blood loss compared with placebo, the benefit was greatest at the 40 mg once-daily dose. Secondary efficacy endpoints, including mean change in myoma volume, uterine volume, and hemoglobin, also demonstrated dose-dependent clinical benefit. Women in the 40 mg once-daily treatment arm experienced decreases in myoma and uterine volume at 12 weeks of 48.8% and 50.7%, respectively, compared to patients receiving placebo. Further, women receiving 40 mg relugolix once-daily experienced a mean increase in hemoglobin at 12 weeks of 0.72 g/dL compared to patients receiving placebo. Mean estradiol levels were fully suppressed below the assay lower limit of quantification of 10 pg/mL at a dose of 40 mg once daily (&lt;10 pg/mL in 75% of patients). On the basis of the findings observed in this trial, we believe 40 mg once-daily relugolix to be an appropriate dose for Phase 3 evaluation in heavy menstrual bleeding associated with uterine fibroids.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Percent of Women with Markedly Decreased Blood Loss at End of Treatment Period</w:t>
      </w:r>
      <w:r>
        <w:rPr>
          <w:rFonts w:ascii="Arial" w:cs="Arial" w:eastAsia="Arial" w:hAnsi="Arial"/>
          <w:sz w:val="11"/>
          <w:szCs w:val="11"/>
          <w:b w:val="1"/>
          <w:bCs w:val="1"/>
          <w:color w:val="auto"/>
        </w:rPr>
        <w:t>1</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(Primary Endpoint of PBAC &lt;10)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161290</wp:posOffset>
            </wp:positionV>
            <wp:extent cx="5196840" cy="2658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9684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Endometriosis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 Phase 2 clinical trial (TAK-385/CCT-101) with an extension study (TAK-385/OCT-101) of women with endometriosis, 487 women were randomized to relugolix at doses of 10 mg, 20 mg or 40 mg administered orally once daily for 12 weeks, to placebo for 12 weeks, or to leuprolide, 3.75 mg administered subcutaneously every four weeks for 12 weeks. The following graphic represents the trial design for TAK-385/CCT-101 and TAK-385/OCT-101:</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Trial Design for Completed Phase 2 Trial for Relugolix for the Treatment of</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Endometriosis-Associated Pelvic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161290</wp:posOffset>
            </wp:positionV>
            <wp:extent cx="3910330" cy="2195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1033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trial demonstrated dose-dependent decreases from baseline in pelvic pain. Pelvic pain, including both non-menstrual pelvic pain and menstrual pain, was assessed by VAS score. The primary endpoint was the change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from baseline in mean VAS score for pelvic pain from week 8 through week 12. The mean pelvic pain VAS scores at baseline for the four groups ranged between 14.6 mm to 15.6 mm. The mean change from baseline in the VAS score was -10.42 mm in the relugolix 40 mg arm versus -3.75 mm in the placebo arm (p&lt;0.0001). All doses were significantly better than placebo, with the greatest benefit observed at the highest dose evaluated, 40 mg once daily. The mean change from baseline in the VAS score for the leuprolide arm was -10.46 mm, which was similar to that of the relugolix 40 mg arm. Secondary efficacy endpoints also demonstrated clinical benefit. Secondary efficacy endpoints included individual VAS scores for non-menstrual pelvic pain, menstrual pain and painful intercourse during the treatment period; the modified Biberoglu and Behrman score for pelvic pain, a commonly used endometriosis-specific patient questionnaire; use of analgesics to treat pelvic pain; proportion of women achieving amenorrhea, or the absence of menstrual blood loss; and quality of life using the endometriosis health profile-30 questionnaire. Clinical improvement was observed on all pain endpoints, including dose-dependent responses in mean VAS score for dysmenorrhea, mean modified Biberoglu and Behrman score for pelvic pain and mean modified Biberoglu and Berhman score for dysmenorrhea. In the 40 mg once-daily treatment arm, mean changes on these endpoints were -29.7, -0.325, and -1.16, respectively, compared to -5.21, -0.178, and -0.172 for patients receiving placebo. The proportion of days in which the women used analgesics and the amount of menstrual bleeding both decreased, while the proportion of women who achieved amenorrhea increased in a time-dependent manner depending on relugolix dose level. The effects of relugolix on pelvic pain were maintained and estradiol levels suppressed for the duration of the study in the 397 women who enrolled in the extension study and received an additional 12 weeks of treatment, or a total of 24 weeks of treatment. On the basis of the efficacy findings observed in this trial, we believe 40 mg once-daily relugolix to be an appropriate dose for Phase 3 evaluation in endometriosis-associated pain. Four weeks after treatment discontinuation, median estradiol levels had returned to above baseline levels in the relugolix 40 mg arm (137 pg/mL), whereas median levels in the leuprolide arm remained suppressed (11 pg/mL).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from Baseline in Patient-Reported Pelvic Pain Score at End of Treatment</w:t>
      </w:r>
      <w:r>
        <w:rPr>
          <w:rFonts w:ascii="Arial" w:cs="Arial" w:eastAsia="Arial" w:hAnsi="Arial"/>
          <w:sz w:val="11"/>
          <w:szCs w:val="11"/>
          <w:b w:val="1"/>
          <w:bCs w:val="1"/>
          <w:color w:val="auto"/>
        </w:rPr>
        <w:t>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(Primary Endpoint of VAS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161290</wp:posOffset>
            </wp:positionV>
            <wp:extent cx="5188585" cy="2769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8858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what we believe to be key characteristics of the product candidates, relugolix and elagolix.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165735</wp:posOffset>
            </wp:positionV>
            <wp:extent cx="5179695" cy="3713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7969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Relugolix, administered at a once daily dose of 40 mg, was observed in clinical trials to suppress estrogen levels below the limit of detection in most women. At these very low estrogen levels, for example less than 20 pg/mL, relugolix also decreases bone mineral density to a level that is unsafe for long-term clinical use. The decrease in bone mineral density was also observed with doses of elagolix and leuprolide that maximally suppress estrogen levels. In the Phase 2 endometriosis study in Japanese women of relugolix 40 mg once daily, bone mineral density at the lumbar spine decreased 4.9% over 24 weeks of treatment. Leuprolide 3.75 mg monthly injections decreased bone mineral density by 4.4% in the same time period. In this same Phase 2 endometriosis study, the placebo group had a bone mineral density decrease of 0.2%. In a Phase 2 study of elagolix 300 mg administered twice daily to North American women with uterine fibroids, bone mineral density decreased 3.6% over six months of treatment. In this study, the placebo group had a bone mineral density increase of 0.8%.</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Suppressing estrogen levels to low levels provides a consistent baseline upon which to add back low-dose estradiol and progestin in a controlled fashion. In our Phase 1 clinical trial for relugolix with and without add-back therapy, this hormone add-back therapy achieved estradiol levels above 20 pg/mL, the level demonstrated to protect women from bone mineral density loss, yet generally below 50 pg/mL, which we believe will maximize the benefit of low estrogen levels on the heavy menstrual bleeding associated with uterine fibroids and endometriosis-associated pain. We believe this strategy of maximal estrogen suppression coupled with adding back low-dose estradiol and progestin may preserve much of relugolix’s clinical benefit while minimizing bone mineral density loss and improving tolerability, thereby potentially enabling longer-term use.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Based on the existing clinical data, we believe relugolix is the only oral GnRH antagonist in development with the potency and half-life necessary to suppress estrogen and progesterone levels in women and testosterone levels in men with once-daily dosing for our target women’s health indications and advanced prostate cancer,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Prostate Cancer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Prostate cancer is the second most prevalent form of cancer in men and the second leading cause of death due to cancer in men in the United States. According to the National Cancer Institute, approximately 2.9 million men are currently living with prostate cancer in the United States, and approximately 180,000 men are newly diagnosed each year. Men with prostate cancer are often asymptomatic at the earliest stages of disease and prostate cancer is generally understood to be slow to progress, leading to a median age at diagnosis of 66 years and a five-year survival rate of 98.9%.</w:t>
      </w:r>
    </w:p>
    <w:p>
      <w:pPr>
        <w:spacing w:after="0" w:line="99"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If prostate cancer is diagnosed at a stage where it is confined to the prostate gland and immediate surroundings, it is generally treated by surgical removal of the prostate gland, or prostatectomy, or with radiation. Often, these procedures are successful in curing men of their disease. Men whose disease progresses after prostatectomy or radiation are said to have advanced prostate cancer. Advanced prostate cancer is defined as either: PSA biochemical relapse following primary surgical or radiation therapy of curative intent; newly diagnosed metastatic prostate cancer; or advanced localized disease for which immediate radiation or surgical therapy is not indicated. The cure rate following surgery, depending on the stage of the cancer, is about 70% overall and, following radiation, about 50% to 60%. Approximately 25% to 30% of men will, therefore, progress to advanced disease, excluding those with metastatic disease at the time of diagnosis.</w:t>
      </w:r>
    </w:p>
    <w:p>
      <w:pPr>
        <w:spacing w:after="0" w:line="9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First-line treatment for advanced prostate cancer typically involves treatment with androgen deprivation therapies, or ADT, which are therapies that drastically reduce testosterone. This is because androgens, such as testosterone, promote the growth of cancerous prostate cells by binding to and activating the androgen receptor which, once activated, stimulates prostate cancer cell growth. ADT consisting of either medical castration or surgical castration, or removal of the testes which produce testosterone, can be successful in delaying prostate cancer progression. More than 80% of patients with advanced prostate cancer initially respond to ADT with varying degrees of tumor regression or stabilization. The duration and depth of response to ADT is presumably dependent on the underlying tumor biology and burden. Thus, patients with metastatic prostate cancer, or prostate cancer that has spread to other parts of the body, respond for an average of two years before any biochemical evidence of castration resistance occurs. By contrast, patients with biochemical-only evidence of progressive disease may respond to ADT for five years or more. As men with prostate cancer progress, they remain on ADT while other therapies are added, typically until death.</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Landscape for Advanced Prostate Cancer</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Currently, most men with prostate cancer in developed countries receive medical rather than surgical castration. GnRH agonists, such as long-acting leuprolide depot injections, are the current standard-of-care for achieving medical castration, causing long-term desensitization and down regulation of the LH-gonadal axis. Approximately 650,000 men with advanced prostate cancer are treated with GnRH agonists each year in the United States. GnRH agonists may be associated with mechanism-of-action limitations. For example, overstimulation of GnRH receptors on the pituitary promotes an initial testosterone surge that not only delays the onset of testosterone suppression, but also may result in a potentially detrimental initial exacerbation of clinical symptoms such as bone pain in advanced disease, known as a clinical or hormonal flare. Importantly, testosterone surges, also known as microsurges, can also occur following repeated administration of GnRH agonists.</w:t>
      </w:r>
    </w:p>
    <w:p>
      <w:pPr>
        <w:spacing w:after="0" w:line="13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2008, degarelix (marketed as Firmagon), an injectable GnRH antagonist, was approved by the FDA as an alternative form of ADT. In 2009, degarelix was approved by the European Medicines Agency for the treatment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patients with advanced prostate cancer. As a GnRH antagonist, degarelix achieves, within the first one to two weeks of administration, suppression of testosterone to castration levels and a corresponding decrease in PSA levels with no initial agonist activity. Recent nonclinical research and an independent third-party meta-analysis of multiple trials evaluating ADT, suggest that GnRH antagonists, such as degarelix, may have an additional advantage on cardiac safety. In the meta-analysis, among men with pre-existing cardiovascular disease, the risk of cardiac events within one year of initiating therapy was significantly lower among men treated with a GnRH antagonist compared with GnRH agonists; however, such differences require confirmation in future prospective studies. We believe degarelix has not achieved significant market acceptance because of the need for monthly depot injections in large aggregate volumes. We are not currently aware of any other GnRH antagonist in clinical development as an ADT for prostate cancer.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Solution for Advanced Prostate Cancer</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When compared to a GnRH agonist such as leuprolide, we believe relugolix may offer several potential advantages based on its oral administration, rapid onset of testosterone suppression within four days, absence of clinical hormonal flare, no need for anti-androgen therapy to protect the patient from flare symptoms, and rapid return to baseline testosterone levels after the last dose, which may result in more rapid improvements in quality of life, such as higher energy levels and restored sexual function. This may be particularly beneficial to men undergoing intermittent, rather than continuous, ADT.</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When compared to an injectable GnRH antagonist such as degarelix, we believe relugolix may offer several advantages, while retaining the same benefits of GnRH antagonist pharmacology compared with GnRH agonists. In particular, relugolix is designed to be administered orally, rather than as a painful monthly injection, and may provide a more rapid return to baseline testosterone levels after the last dose.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Phase 3 Clinical Development Plan for Advanced Prostate Cancer</w:t>
      </w:r>
    </w:p>
    <w:p>
      <w:pPr>
        <w:spacing w:after="0" w:line="77"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We intend to initiate a Phase 3 trial for relugolix for the treatment of advanced prostate cancer in the first quarter of 2017. In 2013, Takeda submitted an IND to the FDA for relugolix (also known as TAK-385) for the treatment of advanced prostate cancer and, in May 2016, Takeda transferred this IND to us. An End of Phase 2 meeting in October 2015 confirmed that there are no additional clinical trials or nonclinical studies required to support the initiation of a Phase 3 trial. Moreover, we believe that this Phase 3 trial, if successful, will be sufficient to support the filing of an NDA. The European Scientific Advice procedure and an End of Phase 2 meeting with the Japanese health authority have also been completed.</w:t>
      </w:r>
    </w:p>
    <w:p>
      <w:pPr>
        <w:spacing w:after="0" w:line="10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planned Phase 3 trial in men with advanced prostate cancer who require ADT will randomize men to treatment with either oral relugolix 120 mg once daily (after a single oral loading dose of 360 mg) or a depot injection of leuprolide (per national or regional product label) for a period of at least 48 weeks. We plan to enroll approximately 1,125 men into this trial, with approximately 750 men enrolled into the active treatment arm and 375 men into the leuprolide arm using a 2:1 randomization scheme. Based on FDA discussions, we are only required to conduct one Phase 3 trial with a single relugolix arm to gain approval in the United States; however, we plan to include a leuprolide arm to gain approval in other major markets where the demonstration of non-inferiority to leuprolide is required.</w:t>
      </w:r>
    </w:p>
    <w:p>
      <w:pPr>
        <w:spacing w:after="0" w:line="13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primary efficacy endpoint accepted by the FDA will be testosterone suppression (£ 50 ng/dL) from week 5, day 1 through week 48, day 7. Relugolix must demonstrate that the lower bound of the 95% confidence interval of the percent of patients achieving testosterone suppression is at least 90%. The secondary efficacy endpoint will be PSA reduction as a percentage change from baseline. Testosterone reduction is an approvable endpoint in the United States and several other hormonal therapies have been approved based on this endpoint. If the results of this trial are favorable, we intend to submit an NDA to the FDA. We may conduct additional clinical trials to further support the commercial potential of relugolix in prostate cancer in the United States and other major markets.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graphic represents the anticipated trial design for our Phase 3 clinical trial for relugolix for the treatment of advanced prostate cancer: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Anticipated Phase 3 Trial Design for Relugolix for the Treatment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Advanced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161290</wp:posOffset>
            </wp:positionV>
            <wp:extent cx="3747770" cy="1483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477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Existing Clinical Data</w:t>
      </w:r>
    </w:p>
    <w:p>
      <w:pPr>
        <w:spacing w:after="0" w:line="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a Phase 1 study of healthy men, relugolix at daily doses of 80 mg to 180 mg for up to 28 days achieved and maintained serum testosterone at castration levels of £ 50 ng/dL (N = ~15/arm). Less testosterone suppression was observed at daily doses of 40 mg and 60 mg for up to 14 days (N = 6/arm). Data from this study guided the selection of the relugolix doses used in Takeda’s Phase 2 clinical trials for relugolix for the treatment of advanced prostate cancer.</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2014, two Phase 2 clinical trials of relugolix (C27002 and C27003) in men with advanced prostate cancer requiring ADT were initiated. Study C27002, which remains ongoing, enrolled patients with advanced prostate cancer, including either: PSA biochemical relapse following primary surgical or radiation therapy of curative intent; newly diagnosed metastatic prostate cancer; or advanced localized disease for which immediate radiation or surgical therapy is not indicated. In this open-label, parallel group study, men in North America were enrolled to receive oral relugolix at a daily dose of 80 mg or 120 mg (after a single oral loading dose of 320 mg) (N = 50 in each arm) or to receive GnRH agonist therapy (leuprolide 22.5 mg administered subcutaneously every 12 weeks, N = 25) for up to 48 weeks. Study C27003, which is completed, enrolled men in North America or the United Kingdom requiring six months ADT as neoadjuvant and adjuvant therapy to external beam radiation therapy. Patients were randomized to relugolix 120 mg once daily (after a single oral loading dose of 320 mg) (N = 65) or to degarelix 80 mg intramuscularly every four weeks (N = 38) for 24 weeks (after a single loading dose of 240 mg).</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Trial Design for Phase 2 Trials for Relugolix for the Treatment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Advanced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161290</wp:posOffset>
            </wp:positionV>
            <wp:extent cx="5179695" cy="2263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7969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study C27002, a pre-specified interim analysis was conducted after a combined 75 patients completed at least 24 weeks of treatment in either of the two relugolix arms. Results from the interim analysis demonstrated that both doses of oral, once daily relugolix, 80 mg and 120 mg, rapidly reduced testosterone levels below the castration threshold (£50 ng/dL) and maintained these levels through at least 48 weeks. These data are comparable to testosterone levels achieved by leuprolide 22.5 mg every 3 months, although no statistical comparisons were conducted between the two arms.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Trials for Relugolix for the Treatment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Advanced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161290</wp:posOffset>
            </wp:positionV>
            <wp:extent cx="5179695" cy="2933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7969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After two weeks of treatment, the median percent change in PSA for the relugolix 120 mg arm was 72.0%, compared to 23.0% in the leuprolide arm. PSA reductions in the relugolix arms were sustained through 24 weeks of treatment. In the relugolix 120 mg arm, 83% of patients achieved a PSA reduction from baseline of at least 50%, compared to 20% of patients in the leuprolide group.</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PSA Reduction in Phase 2 Trials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Median Percentage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118110</wp:posOffset>
            </wp:positionV>
            <wp:extent cx="5188585" cy="2769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858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PSA Reduction in Phase 2 Trials</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Percentage of subjects with ³50% or ³90% reduction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165735</wp:posOffset>
            </wp:positionV>
            <wp:extent cx="5188585" cy="17665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858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Study C27003 demonstrated rapid and sustained suppression of testosterone levels for the 24 week treatment duration. Importantly, in this study, the testosterone recovery following the last dose of treatment was more rapid in the relugolix arm than in the degarelix arm. Baseline testosterone levels were similar between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two arms (356 ng/dL and 404 ng/dL in the relugolix and degarelix groups, respectively), but at 12 weeks after discontinuing therapy, the median testosterone levels were 257 ng/dL and 30 ng/dL, respectively. No statistical comparisons were made between the two arms.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2 Trial (C27003) for Relugolix for the Treatment of</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Advanced Prostate Cancer</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Recovery of Testosterone Levels after Discontinuation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109220</wp:posOffset>
            </wp:positionV>
            <wp:extent cx="4622165" cy="2135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2216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the basis of the efficacy findings observed in these two Phase 2 trials, we believe relugolix 120 mg once daily (following a single loading dose of 360 mg) to be an appropriate dose for Phase 3 evaluation in men with advanced prostate cancer.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Phase 1 Clinical and Preclinical Studies of Relugolix</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1 Clinical Trials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Phase 1 clinical trials with relugolix conducted in 862 healthy adults in the United States, Japan and the United Kingdom demonstrated similar pharmacokinetic profiles after single and multiple dosing across these populations. In healthy, premenopausal women receiving single and multiple doses of relugolix, median LH, FSH and estradiol concentrations were suppressed in a dose-dependent manner when compared with subjects receiving placebo. The duration of suppression appeared to increase with increasing single doses of relugolix ranging from 10 mg to 80 mg. In healthy men, relugolix achieved and maintained testosterone at castration levels (£ 50 ng/dL) at daily doses of 80 mg to 180 mg for up to 28 days of dosing. Less robust testosterone suppression was observed at daily doses of 40 mg and 60 mg. The following chart summarizes the Phase 1 clinical trials completed by Takeda for relugolix:</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Relugolix Phase 1 Clinical Trials</w:t>
      </w:r>
    </w:p>
    <w:p>
      <w:pPr>
        <w:spacing w:after="0" w:line="158" w:lineRule="exact"/>
        <w:rPr>
          <w:sz w:val="20"/>
          <w:szCs w:val="20"/>
          <w:color w:val="auto"/>
        </w:rPr>
      </w:pPr>
    </w:p>
    <w:p>
      <w:pPr>
        <w:ind w:right="2300"/>
        <w:spacing w:after="0" w:line="262" w:lineRule="auto"/>
        <w:rPr>
          <w:sz w:val="20"/>
          <w:szCs w:val="20"/>
          <w:color w:val="auto"/>
        </w:rPr>
      </w:pPr>
      <w:r>
        <w:rPr>
          <w:rFonts w:ascii="Arial" w:cs="Arial" w:eastAsia="Arial" w:hAnsi="Arial"/>
          <w:sz w:val="18"/>
          <w:szCs w:val="18"/>
          <w:b w:val="1"/>
          <w:bCs w:val="1"/>
          <w:color w:val="auto"/>
        </w:rPr>
        <w:t>TAK-385_101: A Double-Blind, Randomized, Placebo-Controlled, Sequential-Panel, Ascending Single- and Multiple-Dose Study to Evaluate the Effect of TAK-385 on Safety, Tolerability, Pharmacokinetics, and Pharmacodynamics in Healthy Premenopausal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694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380" w:type="dxa"/>
            <w:vAlign w:val="bottom"/>
            <w:shd w:val="clear" w:color="auto" w:fill="E5E5E5"/>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6"/>
                <w:szCs w:val="16"/>
                <w:color w:val="auto"/>
              </w:rPr>
            </w:pPr>
          </w:p>
        </w:tc>
        <w:tc>
          <w:tcPr>
            <w:tcW w:w="182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0"/>
              </w:rPr>
              <w:t>Number of</w:t>
            </w:r>
          </w:p>
        </w:tc>
        <w:tc>
          <w:tcPr>
            <w:tcW w:w="6720" w:type="dxa"/>
            <w:vAlign w:val="bottom"/>
          </w:tcPr>
          <w:p>
            <w:pPr>
              <w:spacing w:after="0"/>
              <w:rPr>
                <w:sz w:val="16"/>
                <w:szCs w:val="16"/>
                <w:color w:val="auto"/>
              </w:rPr>
            </w:pPr>
          </w:p>
        </w:tc>
      </w:tr>
      <w:tr>
        <w:trPr>
          <w:trHeight w:val="231"/>
        </w:trPr>
        <w:tc>
          <w:tcPr>
            <w:tcW w:w="138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Location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1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E5E5E5"/>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Healthy</w:t>
            </w:r>
          </w:p>
        </w:tc>
        <w:tc>
          <w:tcPr>
            <w:tcW w:w="12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 = 120</w:t>
            </w:r>
          </w:p>
        </w:tc>
        <w:tc>
          <w:tcPr>
            <w:tcW w:w="120" w:type="dxa"/>
            <w:vAlign w:val="bottom"/>
            <w:tcBorders>
              <w:top w:val="single" w:sz="8" w:color="E5E5E5"/>
            </w:tcBorders>
            <w:shd w:val="clear" w:color="auto" w:fill="E5E5E5"/>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  Generally well tolerated following single doses of 1 mg to 80 mg and 14-day once-daily</w:t>
            </w:r>
          </w:p>
        </w:tc>
      </w:tr>
      <w:tr>
        <w:trPr>
          <w:trHeight w:val="216"/>
        </w:trPr>
        <w:tc>
          <w:tcPr>
            <w:tcW w:w="1380" w:type="dxa"/>
            <w:vAlign w:val="bottom"/>
            <w:shd w:val="clear" w:color="auto" w:fill="E5E5E5"/>
          </w:tcPr>
          <w:p>
            <w:pPr>
              <w:spacing w:after="0"/>
              <w:rPr>
                <w:sz w:val="20"/>
                <w:szCs w:val="20"/>
                <w:color w:val="auto"/>
              </w:rPr>
            </w:pPr>
            <w:r>
              <w:rPr>
                <w:rFonts w:ascii="Arial" w:cs="Arial" w:eastAsia="Arial" w:hAnsi="Arial"/>
                <w:sz w:val="18"/>
                <w:szCs w:val="18"/>
                <w:color w:val="auto"/>
              </w:rPr>
              <w:t>(2007-2008)</w:t>
            </w: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20"/>
                <w:szCs w:val="20"/>
                <w:color w:val="auto"/>
              </w:rPr>
            </w:pPr>
            <w:r>
              <w:rPr>
                <w:rFonts w:ascii="Arial" w:cs="Arial" w:eastAsia="Arial" w:hAnsi="Arial"/>
                <w:sz w:val="18"/>
                <w:szCs w:val="18"/>
                <w:color w:val="auto"/>
                <w:w w:val="99"/>
              </w:rPr>
              <w:t>premenopausal</w:t>
            </w:r>
          </w:p>
        </w:tc>
        <w:tc>
          <w:tcPr>
            <w:tcW w:w="1940" w:type="dxa"/>
            <w:vAlign w:val="bottom"/>
            <w:gridSpan w:val="3"/>
            <w:shd w:val="clear" w:color="auto" w:fill="E5E5E5"/>
          </w:tcPr>
          <w:p>
            <w:pPr>
              <w:ind w:left="120"/>
              <w:spacing w:after="0"/>
              <w:rPr>
                <w:sz w:val="20"/>
                <w:szCs w:val="20"/>
                <w:color w:val="auto"/>
              </w:rPr>
            </w:pPr>
            <w:r>
              <w:rPr>
                <w:rFonts w:ascii="Arial" w:cs="Arial" w:eastAsia="Arial" w:hAnsi="Arial"/>
                <w:sz w:val="18"/>
                <w:szCs w:val="18"/>
                <w:color w:val="auto"/>
              </w:rPr>
              <w:t>(99 relugolix / 21</w:t>
            </w: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doses of 10 mg to 40 mg</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20"/>
                <w:szCs w:val="20"/>
                <w:color w:val="auto"/>
              </w:rPr>
            </w:pPr>
            <w:r>
              <w:rPr>
                <w:rFonts w:ascii="Arial" w:cs="Arial" w:eastAsia="Arial" w:hAnsi="Arial"/>
                <w:sz w:val="18"/>
                <w:szCs w:val="18"/>
                <w:color w:val="auto"/>
              </w:rPr>
              <w:t>women</w:t>
            </w:r>
          </w:p>
        </w:tc>
        <w:tc>
          <w:tcPr>
            <w:tcW w:w="1940" w:type="dxa"/>
            <w:vAlign w:val="bottom"/>
            <w:gridSpan w:val="3"/>
            <w:shd w:val="clear" w:color="auto" w:fill="E5E5E5"/>
          </w:tcPr>
          <w:p>
            <w:pPr>
              <w:ind w:left="120"/>
              <w:spacing w:after="0"/>
              <w:rPr>
                <w:sz w:val="20"/>
                <w:szCs w:val="20"/>
                <w:color w:val="auto"/>
              </w:rPr>
            </w:pPr>
            <w:r>
              <w:rPr>
                <w:rFonts w:ascii="Arial" w:cs="Arial" w:eastAsia="Arial" w:hAnsi="Arial"/>
                <w:sz w:val="18"/>
                <w:szCs w:val="18"/>
                <w:color w:val="auto"/>
              </w:rPr>
              <w:t>placebo)</w:t>
            </w:r>
          </w:p>
        </w:tc>
        <w:tc>
          <w:tcPr>
            <w:tcW w:w="6720" w:type="dxa"/>
            <w:vAlign w:val="bottom"/>
            <w:shd w:val="clear" w:color="auto" w:fill="E5E5E5"/>
          </w:tcPr>
          <w:p>
            <w:pPr>
              <w:spacing w:after="0"/>
              <w:rPr>
                <w:sz w:val="20"/>
                <w:szCs w:val="20"/>
                <w:color w:val="auto"/>
              </w:rPr>
            </w:pPr>
            <w:r>
              <w:rPr>
                <w:rFonts w:ascii="Arial" w:cs="Arial" w:eastAsia="Arial" w:hAnsi="Arial"/>
                <w:sz w:val="18"/>
                <w:szCs w:val="18"/>
                <w:color w:val="auto"/>
                <w:w w:val="91"/>
              </w:rPr>
              <w:t>•  Frequency of adverse events was similar between placebo and relugolix with no apparent</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dose relationship</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spacing w:after="0"/>
              <w:rPr>
                <w:sz w:val="20"/>
                <w:szCs w:val="20"/>
                <w:color w:val="auto"/>
              </w:rPr>
            </w:pPr>
            <w:r>
              <w:rPr>
                <w:rFonts w:ascii="Arial" w:cs="Arial" w:eastAsia="Arial" w:hAnsi="Arial"/>
                <w:sz w:val="18"/>
                <w:szCs w:val="18"/>
                <w:color w:val="auto"/>
              </w:rPr>
              <w:t>•  Dosing with food reduced absorption of relugolix</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spacing w:after="0"/>
              <w:rPr>
                <w:sz w:val="20"/>
                <w:szCs w:val="20"/>
                <w:color w:val="auto"/>
              </w:rPr>
            </w:pPr>
            <w:r>
              <w:rPr>
                <w:rFonts w:ascii="Arial" w:cs="Arial" w:eastAsia="Arial" w:hAnsi="Arial"/>
                <w:sz w:val="18"/>
                <w:szCs w:val="18"/>
                <w:color w:val="auto"/>
                <w:w w:val="89"/>
              </w:rPr>
              <w:t>•  Relugolix suppressed mean concentrations of endogenous LH, FSH, and estradiol following</w:t>
            </w:r>
          </w:p>
        </w:tc>
      </w:tr>
      <w:tr>
        <w:trPr>
          <w:trHeight w:val="238"/>
        </w:trPr>
        <w:tc>
          <w:tcPr>
            <w:tcW w:w="13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7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repeat doses in dose-dependent manner</w:t>
            </w:r>
          </w:p>
        </w:tc>
      </w:tr>
    </w:tbl>
    <w:p>
      <w:pPr>
        <w:spacing w:after="0" w:line="202" w:lineRule="exact"/>
        <w:rPr>
          <w:sz w:val="20"/>
          <w:szCs w:val="20"/>
          <w:color w:val="auto"/>
        </w:rPr>
      </w:pPr>
    </w:p>
    <w:p>
      <w:pPr>
        <w:ind w:right="600"/>
        <w:spacing w:after="0" w:line="289" w:lineRule="auto"/>
        <w:rPr>
          <w:sz w:val="20"/>
          <w:szCs w:val="20"/>
          <w:color w:val="auto"/>
        </w:rPr>
      </w:pPr>
      <w:r>
        <w:rPr>
          <w:rFonts w:ascii="Arial" w:cs="Arial" w:eastAsia="Arial" w:hAnsi="Arial"/>
          <w:sz w:val="16"/>
          <w:szCs w:val="16"/>
          <w:b w:val="1"/>
          <w:bCs w:val="1"/>
          <w:color w:val="auto"/>
        </w:rPr>
        <w:t>TAK-385/CPH-001: A Phase I, Double-Blind, Randomized, Placebo-Controlled, Sequential-Panel, Ascending Single- and Multiple-Dose Study to Evaluate the Effect of TAK-385 on Safety, Tolerability, Pharmacokinetics, and Pharmacodynamics in Healthy Premenopausal Women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Location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Healthy</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 = 144</w:t>
            </w:r>
          </w:p>
        </w:tc>
        <w:tc>
          <w:tcPr>
            <w:tcW w:w="1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  Generally well tolerated following single doses of 1 mg to 80 mg and 14-day once-daily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(2007-2008)</w:t>
            </w:r>
          </w:p>
        </w:tc>
        <w:tc>
          <w:tcPr>
            <w:tcW w:w="1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premenopausal</w:t>
            </w: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(120 relugolix / 24</w:t>
            </w:r>
          </w:p>
        </w:tc>
        <w:tc>
          <w:tcPr>
            <w:tcW w:w="6720" w:type="dxa"/>
            <w:vAlign w:val="bottom"/>
          </w:tcPr>
          <w:p>
            <w:pPr>
              <w:ind w:left="320"/>
              <w:spacing w:after="0"/>
              <w:rPr>
                <w:sz w:val="20"/>
                <w:szCs w:val="20"/>
                <w:color w:val="auto"/>
              </w:rPr>
            </w:pPr>
            <w:r>
              <w:rPr>
                <w:rFonts w:ascii="Arial" w:cs="Arial" w:eastAsia="Arial" w:hAnsi="Arial"/>
                <w:sz w:val="18"/>
                <w:szCs w:val="18"/>
                <w:color w:val="auto"/>
              </w:rPr>
              <w:t>doses of 10 mg to 40 mg</w:t>
            </w: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women</w:t>
            </w: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placebo)</w:t>
            </w:r>
          </w:p>
        </w:tc>
        <w:tc>
          <w:tcPr>
            <w:tcW w:w="6720" w:type="dxa"/>
            <w:vAlign w:val="bottom"/>
          </w:tcPr>
          <w:p>
            <w:pPr>
              <w:spacing w:after="0"/>
              <w:rPr>
                <w:sz w:val="19"/>
                <w:szCs w:val="19"/>
                <w:color w:val="auto"/>
              </w:rPr>
            </w:pPr>
          </w:p>
        </w:tc>
      </w:tr>
    </w:tbl>
    <w:p>
      <w:pPr>
        <w:spacing w:after="0" w:line="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color w:val="auto"/>
        </w:rPr>
        <w:t>TAK-385_102: A Phase 1, Open-label Study to Evaluate the Pharmacokinetic Drug-Drug Interaction Between Multiple Doses of TAK-385 and a Panel of Cytochrome P-450 Substrates Administered Concomitantly as an Indiana Cocktail in Healthy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557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380" w:type="dxa"/>
            <w:vAlign w:val="bottom"/>
            <w:shd w:val="clear" w:color="auto" w:fill="E5E5E5"/>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spacing w:after="0"/>
              <w:rPr>
                <w:sz w:val="16"/>
                <w:szCs w:val="16"/>
                <w:color w:val="auto"/>
              </w:rPr>
            </w:pPr>
          </w:p>
        </w:tc>
      </w:tr>
      <w:tr>
        <w:trPr>
          <w:trHeight w:val="231"/>
        </w:trPr>
        <w:tc>
          <w:tcPr>
            <w:tcW w:w="138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Location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1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E5E5E5"/>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Healthy subjects</w:t>
            </w:r>
          </w:p>
        </w:tc>
        <w:tc>
          <w:tcPr>
            <w:tcW w:w="12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 = 16</w:t>
            </w:r>
          </w:p>
        </w:tc>
        <w:tc>
          <w:tcPr>
            <w:tcW w:w="120" w:type="dxa"/>
            <w:vAlign w:val="bottom"/>
            <w:tcBorders>
              <w:top w:val="single" w:sz="8" w:color="E5E5E5"/>
            </w:tcBorders>
            <w:shd w:val="clear" w:color="auto" w:fill="E5E5E5"/>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  Multiple dosing with 20 mg oral once-daily relugolix for 7 days does not have a relevant</w:t>
            </w:r>
          </w:p>
        </w:tc>
      </w:tr>
      <w:tr>
        <w:trPr>
          <w:trHeight w:val="216"/>
        </w:trPr>
        <w:tc>
          <w:tcPr>
            <w:tcW w:w="1380" w:type="dxa"/>
            <w:vAlign w:val="bottom"/>
            <w:shd w:val="clear" w:color="auto" w:fill="E5E5E5"/>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8"/>
              </w:rPr>
              <w:t>effect on the pharmacokinetic profile of substrates for drug metabolizing enzymes</w:t>
            </w:r>
          </w:p>
        </w:tc>
      </w:tr>
      <w:tr>
        <w:trPr>
          <w:trHeight w:val="224"/>
        </w:trPr>
        <w:tc>
          <w:tcPr>
            <w:tcW w:w="13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7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CYP1A2, CYP2C9, CYP2D6, and CYP3A4</w:t>
            </w:r>
          </w:p>
        </w:tc>
      </w:tr>
      <w:tr>
        <w:trPr>
          <w:trHeight w:val="363"/>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jc w:val="right"/>
              <w:ind w:right="5532"/>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140"/>
        <w:spacing w:after="0" w:line="257" w:lineRule="auto"/>
        <w:rPr>
          <w:sz w:val="20"/>
          <w:szCs w:val="20"/>
          <w:color w:val="auto"/>
        </w:rPr>
      </w:pPr>
      <w:r>
        <w:rPr>
          <w:rFonts w:ascii="Arial" w:cs="Arial" w:eastAsia="Arial" w:hAnsi="Arial"/>
          <w:sz w:val="18"/>
          <w:szCs w:val="18"/>
          <w:b w:val="1"/>
          <w:bCs w:val="1"/>
          <w:color w:val="auto"/>
        </w:rPr>
        <w:t>TAK-385/CPH-010: An Open-Label, Drug-Drug Interaction Study to Evaluate the Effects of Multiple Oral Doses of Erythromycin on the Pharmacokinetics of a Single Oral Dose of TAK-385 in Healthy Adult Male and Female Subjects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Location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Healthy subjects</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 = 20</w:t>
            </w:r>
          </w:p>
        </w:tc>
        <w:tc>
          <w:tcPr>
            <w:tcW w:w="1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  When 20 mg single-dose relugolix was administered in combination with erythromycin, the</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w w:val="93"/>
              </w:rPr>
              <w:t>plasma exposure of relugolix was increased ~6-fold, likely as a result of increased oral</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bioavailability and/or absorption</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6"/>
              </w:rPr>
              <w:t>•  The incidence of adverse events known to occur due to the pharmacological effect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w w:val="97"/>
              </w:rPr>
              <w:t>relugolix was higher in the combination period than that in the relugolix only period</w:t>
            </w: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All adverse events were mild and recovered without any treatment</w:t>
            </w:r>
          </w:p>
        </w:tc>
      </w:tr>
    </w:tbl>
    <w:p>
      <w:pPr>
        <w:spacing w:after="0" w:line="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C27001: A Phase 1, Randomized, Double-Blind, Placebo-Controlled, Single and Multiple Dose, Inpatient and Outpatient Study in Healthy Men to Evaluate the Safety, Tolerability, Pharmacokinetics, and Efficacy for Testosterone Lowering of TAK-385, an Oral Gonadotropin-Releasing Hormone (GnRH) Antagonist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694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380" w:type="dxa"/>
            <w:vAlign w:val="bottom"/>
            <w:shd w:val="clear" w:color="auto" w:fill="E5E5E5"/>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spacing w:after="0"/>
              <w:rPr>
                <w:sz w:val="16"/>
                <w:szCs w:val="16"/>
                <w:color w:val="auto"/>
              </w:rPr>
            </w:pPr>
          </w:p>
        </w:tc>
      </w:tr>
      <w:tr>
        <w:trPr>
          <w:trHeight w:val="231"/>
        </w:trPr>
        <w:tc>
          <w:tcPr>
            <w:tcW w:w="138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Location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1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United Kingdom</w:t>
            </w:r>
          </w:p>
        </w:tc>
        <w:tc>
          <w:tcPr>
            <w:tcW w:w="120" w:type="dxa"/>
            <w:vAlign w:val="bottom"/>
            <w:tcBorders>
              <w:top w:val="single" w:sz="8" w:color="E5E5E5"/>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Healthy men</w:t>
            </w:r>
          </w:p>
        </w:tc>
        <w:tc>
          <w:tcPr>
            <w:tcW w:w="12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 = 176</w:t>
            </w:r>
          </w:p>
        </w:tc>
        <w:tc>
          <w:tcPr>
            <w:tcW w:w="120" w:type="dxa"/>
            <w:vAlign w:val="bottom"/>
            <w:tcBorders>
              <w:top w:val="single" w:sz="8" w:color="E5E5E5"/>
            </w:tcBorders>
            <w:shd w:val="clear" w:color="auto" w:fill="E5E5E5"/>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1"/>
              </w:rPr>
              <w:t>•  Sustained, lower-threshold medical castration of &lt;50 ng/dL was consistently achieved with</w:t>
            </w:r>
          </w:p>
        </w:tc>
      </w:tr>
      <w:tr>
        <w:trPr>
          <w:trHeight w:val="216"/>
        </w:trPr>
        <w:tc>
          <w:tcPr>
            <w:tcW w:w="1380" w:type="dxa"/>
            <w:vAlign w:val="bottom"/>
            <w:shd w:val="clear" w:color="auto" w:fill="E5E5E5"/>
          </w:tcPr>
          <w:p>
            <w:pPr>
              <w:spacing w:after="0"/>
              <w:rPr>
                <w:sz w:val="20"/>
                <w:szCs w:val="20"/>
                <w:color w:val="auto"/>
              </w:rPr>
            </w:pPr>
            <w:r>
              <w:rPr>
                <w:rFonts w:ascii="Arial" w:cs="Arial" w:eastAsia="Arial" w:hAnsi="Arial"/>
                <w:sz w:val="18"/>
                <w:szCs w:val="18"/>
                <w:color w:val="auto"/>
              </w:rPr>
              <w:t>(2011-2012)</w:t>
            </w: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40" w:type="dxa"/>
            <w:vAlign w:val="bottom"/>
            <w:gridSpan w:val="3"/>
            <w:shd w:val="clear" w:color="auto" w:fill="E5E5E5"/>
          </w:tcPr>
          <w:p>
            <w:pPr>
              <w:ind w:left="120"/>
              <w:spacing w:after="0"/>
              <w:rPr>
                <w:sz w:val="20"/>
                <w:szCs w:val="20"/>
                <w:color w:val="auto"/>
              </w:rPr>
            </w:pPr>
            <w:r>
              <w:rPr>
                <w:rFonts w:ascii="Arial" w:cs="Arial" w:eastAsia="Arial" w:hAnsi="Arial"/>
                <w:sz w:val="18"/>
                <w:szCs w:val="18"/>
                <w:color w:val="auto"/>
              </w:rPr>
              <w:t>(128 relugolix / 48</w:t>
            </w: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89"/>
              </w:rPr>
              <w:t>once-daily 80 mg, 160 mg, or 180 mg relugolix for 28 days, and rapid reductions in serum</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40" w:type="dxa"/>
            <w:vAlign w:val="bottom"/>
            <w:gridSpan w:val="3"/>
            <w:shd w:val="clear" w:color="auto" w:fill="E5E5E5"/>
          </w:tcPr>
          <w:p>
            <w:pPr>
              <w:ind w:left="120"/>
              <w:spacing w:after="0"/>
              <w:rPr>
                <w:sz w:val="20"/>
                <w:szCs w:val="20"/>
                <w:color w:val="auto"/>
              </w:rPr>
            </w:pPr>
            <w:r>
              <w:rPr>
                <w:rFonts w:ascii="Arial" w:cs="Arial" w:eastAsia="Arial" w:hAnsi="Arial"/>
                <w:sz w:val="18"/>
                <w:szCs w:val="18"/>
                <w:color w:val="auto"/>
              </w:rPr>
              <w:t>placebo)</w:t>
            </w: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6"/>
              </w:rPr>
              <w:t>testosterone were achieved by using a loading dose approach (320 mg or 360 mg).</w:t>
            </w:r>
          </w:p>
        </w:tc>
      </w:tr>
      <w:tr>
        <w:trPr>
          <w:trHeight w:val="238"/>
        </w:trPr>
        <w:tc>
          <w:tcPr>
            <w:tcW w:w="13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7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720" w:type="dxa"/>
            <w:vAlign w:val="bottom"/>
            <w:shd w:val="clear" w:color="auto" w:fill="E5E5E5"/>
          </w:tcPr>
          <w:p>
            <w:pPr>
              <w:spacing w:after="0"/>
              <w:rPr>
                <w:sz w:val="20"/>
                <w:szCs w:val="20"/>
                <w:color w:val="auto"/>
              </w:rPr>
            </w:pPr>
            <w:r>
              <w:rPr>
                <w:rFonts w:ascii="Arial" w:cs="Arial" w:eastAsia="Arial" w:hAnsi="Arial"/>
                <w:sz w:val="18"/>
                <w:szCs w:val="18"/>
                <w:color w:val="auto"/>
              </w:rPr>
              <w:t>•  Single and multiple doses administered were generally well tolerated</w:t>
            </w: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b w:val="1"/>
          <w:bCs w:val="1"/>
          <w:color w:val="auto"/>
        </w:rPr>
        <w:t>TAK-385_106: A Randomized, Double-Blind, Placebo- and Positive-Controlled (Open-Label Moxifloxacin), 4-Arm Parallel-Group Study to Evaluate the Effect of TAK-385 on Cardiac Repolarization in Healthy Subjects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Location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Healthy subjects</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 = 280</w:t>
            </w:r>
          </w:p>
        </w:tc>
        <w:tc>
          <w:tcPr>
            <w:tcW w:w="1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  Single doses of 60 mg and 360 mg relugolix had no effect on cardiac repolarization (QTc</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(140 relugolix/</w:t>
            </w:r>
          </w:p>
        </w:tc>
        <w:tc>
          <w:tcPr>
            <w:tcW w:w="6720" w:type="dxa"/>
            <w:vAlign w:val="bottom"/>
          </w:tcPr>
          <w:p>
            <w:pPr>
              <w:ind w:left="320"/>
              <w:spacing w:after="0"/>
              <w:rPr>
                <w:sz w:val="20"/>
                <w:szCs w:val="20"/>
                <w:color w:val="auto"/>
              </w:rPr>
            </w:pPr>
            <w:r>
              <w:rPr>
                <w:rFonts w:ascii="Arial" w:cs="Arial" w:eastAsia="Arial" w:hAnsi="Arial"/>
                <w:sz w:val="18"/>
                <w:szCs w:val="18"/>
                <w:color w:val="auto"/>
              </w:rPr>
              <w:t>interval)</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70 placebo/</w:t>
            </w:r>
          </w:p>
        </w:tc>
        <w:tc>
          <w:tcPr>
            <w:tcW w:w="6720" w:type="dxa"/>
            <w:vAlign w:val="bottom"/>
          </w:tcPr>
          <w:p>
            <w:pPr>
              <w:spacing w:after="0"/>
              <w:rPr>
                <w:sz w:val="20"/>
                <w:szCs w:val="20"/>
                <w:color w:val="auto"/>
              </w:rPr>
            </w:pPr>
            <w:r>
              <w:rPr>
                <w:rFonts w:ascii="Arial" w:cs="Arial" w:eastAsia="Arial" w:hAnsi="Arial"/>
                <w:sz w:val="18"/>
                <w:szCs w:val="18"/>
                <w:color w:val="auto"/>
              </w:rPr>
              <w:t>•  Both doses were generally well tolerated in healthy subjects</w:t>
            </w: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70 moxifloxacin)</w:t>
            </w:r>
          </w:p>
        </w:tc>
        <w:tc>
          <w:tcPr>
            <w:tcW w:w="6720" w:type="dxa"/>
            <w:vAlign w:val="bottom"/>
          </w:tcPr>
          <w:p>
            <w:pPr>
              <w:spacing w:after="0"/>
              <w:rPr>
                <w:sz w:val="19"/>
                <w:szCs w:val="19"/>
                <w:color w:val="auto"/>
              </w:rPr>
            </w:pPr>
          </w:p>
        </w:tc>
      </w:tr>
    </w:tbl>
    <w:p>
      <w:pPr>
        <w:spacing w:after="0" w:line="1" w:lineRule="exact"/>
        <w:rPr>
          <w:sz w:val="20"/>
          <w:szCs w:val="20"/>
          <w:color w:val="auto"/>
        </w:rPr>
      </w:pPr>
    </w:p>
    <w:p>
      <w:pPr>
        <w:ind w:right="920"/>
        <w:spacing w:after="0" w:line="269" w:lineRule="auto"/>
        <w:rPr>
          <w:sz w:val="20"/>
          <w:szCs w:val="20"/>
          <w:color w:val="auto"/>
        </w:rPr>
      </w:pPr>
      <w:r>
        <w:rPr>
          <w:rFonts w:ascii="Arial" w:cs="Arial" w:eastAsia="Arial" w:hAnsi="Arial"/>
          <w:sz w:val="18"/>
          <w:szCs w:val="18"/>
          <w:b w:val="1"/>
          <w:bCs w:val="1"/>
          <w:color w:val="auto"/>
        </w:rPr>
        <w:t>C27005: An Open-label, Drug-Drug Interaction Study to Evaluate the Effects of Multiple Oral Doses of Fluconazole and Atorvastatin on the Pharmacokinetics of a Single Oral Dose of TAK-385 in Healthy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557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380" w:type="dxa"/>
            <w:vAlign w:val="bottom"/>
            <w:shd w:val="clear" w:color="auto" w:fill="E5E5E5"/>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spacing w:after="0"/>
              <w:rPr>
                <w:sz w:val="16"/>
                <w:szCs w:val="16"/>
                <w:color w:val="auto"/>
              </w:rPr>
            </w:pPr>
          </w:p>
        </w:tc>
      </w:tr>
      <w:tr>
        <w:trPr>
          <w:trHeight w:val="231"/>
        </w:trPr>
        <w:tc>
          <w:tcPr>
            <w:tcW w:w="138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Location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1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E5E5E5"/>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Healthy subjects</w:t>
            </w:r>
          </w:p>
        </w:tc>
        <w:tc>
          <w:tcPr>
            <w:tcW w:w="12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 = 40</w:t>
            </w:r>
          </w:p>
        </w:tc>
        <w:tc>
          <w:tcPr>
            <w:tcW w:w="120" w:type="dxa"/>
            <w:vAlign w:val="bottom"/>
            <w:tcBorders>
              <w:top w:val="single" w:sz="8" w:color="E5E5E5"/>
            </w:tcBorders>
            <w:shd w:val="clear" w:color="auto" w:fill="E5E5E5"/>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  Fluconazole or atorvastatin did not result in a clinically relevant change in relugolix</w:t>
            </w:r>
          </w:p>
        </w:tc>
      </w:tr>
      <w:tr>
        <w:trPr>
          <w:trHeight w:val="216"/>
        </w:trPr>
        <w:tc>
          <w:tcPr>
            <w:tcW w:w="1380" w:type="dxa"/>
            <w:vAlign w:val="bottom"/>
            <w:shd w:val="clear" w:color="auto" w:fill="E5E5E5"/>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0"/>
              </w:rPr>
              <w:t>exposure, suggesting CYP3A inhibition is not the dominant mechanism of the previously</w:t>
            </w:r>
          </w:p>
        </w:tc>
      </w:tr>
      <w:tr>
        <w:trPr>
          <w:trHeight w:val="216"/>
        </w:trPr>
        <w:tc>
          <w:tcPr>
            <w:tcW w:w="13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7"/>
              </w:rPr>
              <w:t>observed interaction with erythromycin in TAK-385/CPH-010, rather increased oral</w:t>
            </w:r>
          </w:p>
        </w:tc>
      </w:tr>
      <w:tr>
        <w:trPr>
          <w:trHeight w:val="224"/>
        </w:trPr>
        <w:tc>
          <w:tcPr>
            <w:tcW w:w="13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7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67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bioavailability due to P-glycoprotein inhibition</w:t>
            </w:r>
          </w:p>
        </w:tc>
      </w:tr>
    </w:tbl>
    <w:p>
      <w:pPr>
        <w:spacing w:after="0" w:line="202"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b w:val="1"/>
          <w:bCs w:val="1"/>
          <w:color w:val="auto"/>
        </w:rPr>
        <w:t>TAK-385-1009: An Open-Label, Single-Centre, Two-Part, Phase 1, Mass Balance Study to Assess the Absorption, Distribution, Metabolism, Excretion, and Absolute Bioavailability of Orally Administered [</w:t>
      </w:r>
      <w:r>
        <w:rPr>
          <w:rFonts w:ascii="Arial" w:cs="Arial" w:eastAsia="Arial" w:hAnsi="Arial"/>
          <w:sz w:val="11"/>
          <w:szCs w:val="11"/>
          <w:b w:val="1"/>
          <w:bCs w:val="1"/>
          <w:color w:val="auto"/>
        </w:rPr>
        <w:t>14</w:t>
      </w:r>
      <w:r>
        <w:rPr>
          <w:rFonts w:ascii="Arial" w:cs="Arial" w:eastAsia="Arial" w:hAnsi="Arial"/>
          <w:sz w:val="18"/>
          <w:szCs w:val="18"/>
          <w:b w:val="1"/>
          <w:bCs w:val="1"/>
          <w:color w:val="auto"/>
        </w:rPr>
        <w:t>C]-TAK-385 in Healthy Male Subjects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Location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6720" w:type="dxa"/>
            <w:vAlign w:val="bottom"/>
          </w:tcPr>
          <w:p>
            <w:pPr>
              <w:ind w:left="2880"/>
              <w:spacing w:after="0"/>
              <w:rPr>
                <w:sz w:val="20"/>
                <w:szCs w:val="20"/>
                <w:color w:val="auto"/>
              </w:rPr>
            </w:pPr>
            <w:r>
              <w:rPr>
                <w:rFonts w:ascii="Arial" w:cs="Arial" w:eastAsia="Arial" w:hAnsi="Arial"/>
                <w:sz w:val="18"/>
                <w:szCs w:val="18"/>
                <w:color w:val="auto"/>
              </w:rPr>
              <w:t>Key Findings</w:t>
            </w: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Healthy males</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 = 12</w:t>
            </w:r>
          </w:p>
        </w:tc>
        <w:tc>
          <w:tcPr>
            <w:tcW w:w="1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  After oral administration of a radiolabeled dose of relugolix, the majority of radioactivity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was recovered in the feces as a metabolite, with little in the urine.</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There were no major circulating relugolix metabolites</w:t>
            </w: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Oral availability of relugolix was determined to be ~12%</w:t>
            </w:r>
          </w:p>
        </w:tc>
      </w:tr>
      <w:tr>
        <w:trPr>
          <w:trHeight w:val="3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jc w:val="right"/>
              <w:ind w:right="5532"/>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TAK-385-1010: An Open-label, Randomized, Three-Way Crossover Study Evaluating the Relative Bioavailability and Effect of Food on TAK-385 Tablet Formulations in Healthy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557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380" w:type="dxa"/>
            <w:vAlign w:val="bottom"/>
            <w:shd w:val="clear" w:color="auto" w:fill="E5E5E5"/>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6"/>
              </w:rPr>
              <w:t>Subject</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80" w:type="dxa"/>
            <w:vAlign w:val="bottom"/>
          </w:tcPr>
          <w:p>
            <w:pPr>
              <w:spacing w:after="0"/>
              <w:rPr>
                <w:sz w:val="16"/>
                <w:szCs w:val="16"/>
                <w:color w:val="auto"/>
              </w:rPr>
            </w:pPr>
          </w:p>
        </w:tc>
      </w:tr>
      <w:tr>
        <w:trPr>
          <w:trHeight w:val="231"/>
        </w:trPr>
        <w:tc>
          <w:tcPr>
            <w:tcW w:w="138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Location (Date)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Number of Subjects</w:t>
            </w:r>
          </w:p>
        </w:tc>
        <w:tc>
          <w:tcPr>
            <w:tcW w:w="140" w:type="dxa"/>
            <w:vAlign w:val="bottom"/>
          </w:tcPr>
          <w:p>
            <w:pPr>
              <w:spacing w:after="0"/>
              <w:rPr>
                <w:sz w:val="20"/>
                <w:szCs w:val="20"/>
                <w:color w:val="auto"/>
              </w:rPr>
            </w:pPr>
          </w:p>
        </w:tc>
        <w:tc>
          <w:tcPr>
            <w:tcW w:w="6580" w:type="dxa"/>
            <w:vAlign w:val="bottom"/>
          </w:tcPr>
          <w:p>
            <w:pPr>
              <w:ind w:left="2740"/>
              <w:spacing w:after="0"/>
              <w:rPr>
                <w:sz w:val="20"/>
                <w:szCs w:val="20"/>
                <w:color w:val="auto"/>
              </w:rPr>
            </w:pPr>
            <w:r>
              <w:rPr>
                <w:rFonts w:ascii="Arial" w:cs="Arial" w:eastAsia="Arial" w:hAnsi="Arial"/>
                <w:sz w:val="18"/>
                <w:szCs w:val="18"/>
                <w:color w:val="auto"/>
              </w:rPr>
              <w:t>Key Findings</w:t>
            </w:r>
          </w:p>
        </w:tc>
      </w:tr>
      <w:tr>
        <w:trPr>
          <w:trHeight w:val="208"/>
        </w:trPr>
        <w:tc>
          <w:tcPr>
            <w:tcW w:w="1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E5E5E5"/>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Healthy subjects</w:t>
            </w:r>
          </w:p>
        </w:tc>
        <w:tc>
          <w:tcPr>
            <w:tcW w:w="12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 = 54</w:t>
            </w:r>
          </w:p>
        </w:tc>
        <w:tc>
          <w:tcPr>
            <w:tcW w:w="12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658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94"/>
              </w:rPr>
              <w:t>Relative bioavailability of two new tablet formulations was similar compared to existing</w:t>
            </w:r>
          </w:p>
        </w:tc>
      </w:tr>
      <w:tr>
        <w:trPr>
          <w:trHeight w:val="216"/>
        </w:trPr>
        <w:tc>
          <w:tcPr>
            <w:tcW w:w="1380" w:type="dxa"/>
            <w:vAlign w:val="bottom"/>
            <w:shd w:val="clear" w:color="auto" w:fill="E5E5E5"/>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580" w:type="dxa"/>
            <w:vAlign w:val="bottom"/>
            <w:shd w:val="clear" w:color="auto" w:fill="E5E5E5"/>
          </w:tcPr>
          <w:p>
            <w:pPr>
              <w:ind w:left="180"/>
              <w:spacing w:after="0"/>
              <w:rPr>
                <w:sz w:val="20"/>
                <w:szCs w:val="20"/>
                <w:color w:val="auto"/>
              </w:rPr>
            </w:pPr>
            <w:r>
              <w:rPr>
                <w:rFonts w:ascii="Arial" w:cs="Arial" w:eastAsia="Arial" w:hAnsi="Arial"/>
                <w:sz w:val="18"/>
                <w:szCs w:val="18"/>
                <w:color w:val="auto"/>
              </w:rPr>
              <w:t>tablet formation</w:t>
            </w:r>
          </w:p>
        </w:tc>
      </w:tr>
      <w:tr>
        <w:trPr>
          <w:trHeight w:val="238"/>
        </w:trPr>
        <w:tc>
          <w:tcPr>
            <w:tcW w:w="13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7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65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Dosing with food reduced absorption of relugolix</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 series of in vitro and in vivo pharmacological studies conducted by Takeda, relugolix was observed to be a potent and highly selective antagonist for human GnRH receptor. Administration of elagolix in targeting the human GnRH receptor resulted in reductions in reproductive organ weights of male mice, suggesting that relugolix suppressed blood testosterone levels. Orally administered relugolix suppressed the hypothalamic-pituitary axis in castrated cynomolgus monkeys at doses of 1 mg/kg and higher.</w:t>
      </w:r>
    </w:p>
    <w:p>
      <w:pPr>
        <w:spacing w:after="0" w:line="13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nonclinical pharmacokinetic studies, oral relugolix showed rapid absorption and elimination, with low oral bioavailability. Oral bioavailability is a measure of absorption and is the fraction of an administered dose that reaches the systemic circulation of unchanged drug, one of the principal pharmacokinetic properties of drugs. Relugolix has been evaluated for safety in single-dose studies in rats and monkeys and in repeat-dose toxicity studies in mice, rats and monkeys. Genotoxicity, carcinogenicity, reproductive toxicity and phototoxicity studies have also been performed. No safety issues have been identified from nonclinical studies that would preclude the continued development of relugolix in humans. Studies conducted to date have shown that relugolix is not mutagenic or clastogenic (a mutagenic agent giving rise to or inducing disruption or breakages of chromosomes) and it was not observed to be carcinogenic in two-year mouse and rat toxicity studies.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Pharmacokinetic and Safety Data for Relugolix</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of July 2015, Takeda had completed or had ongoing 15 Phase 1 or Phase 2 clinical trials for relugolix in a total of 1,839 subjects. Of these, 1,309 subjects, including 792 women and 517 men, had been administered relugolix. Overall, relugolix has been generally well tolerated in the Phase 1 and 2 trials. No safety issues of concern were identified that preclude the continued development of relugolix based on assessments of adverse events, physical examinations, vital sign measurements, clinical laboratory values and electrocardiogram findings. Importantly, in a dedicated study evaluating the impact of relugolix on electrocardiograms, relugolix did not prolong the corrected QT interval. Relugolix treatment results in rapid, dose-dependent suppression of estradiol in women and testosterone in men. The predominant half-life is 37 to 42 hours. Relugolix has low oral bioavailability (average 11.6%), presumably due to intestinal efflux by the Permeability-glycoprotein, or P-gp, transporter. Relugolix is highly metabolized, and there are no major circulating metabolites. Clinical drug-drug interaction studies suggest the exposure of relugolix is increased by P-gp inhibitors. Food was shown to decrease the extent of relugolix absorption. The pharmacokinetics and pharmacodynamics of relugolix have been evaluated and appear similar in American and Japanese volunteers, despite the lower mean body mass index observed in Japanese volunteers.</w:t>
      </w:r>
    </w:p>
    <w:p>
      <w:pPr>
        <w:spacing w:after="0" w:line="10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overall safety profile of relugolix in clinical studies was consistent with its known mechanism of action as a GnRH receptor antagonist, including bone mineral density loss, hot flash, headache, loss of energy, mood swings, decreased libido and decreased muscle mass. The majority of adverse events have been mild and resolved without treatment.</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Phase 2 trial of women with uterine fibroids and heavy menstrual bleeding, the most common treatment-emergent adverse events in the relugolix 40 mg once-daily arm, occurring in at least 10% of women included hot flash, nasopharyngitis, abnormal bleeding from the uterus, abnormally heavy menstrual bleeding, headache and genital hemorrhage. In the Phase 2 trial of women with pelvic pain and endometriosis, the most common treatment-emergent adverse events in the relugolix 40 mg once-daily arm, occurring in at least 10% of women included hot flash, abnormal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bleeding from the uterus, nasopharyngitis, and abnormally heavy menstrual bleeding. The majority of events of abnormal bleeding from the uterus, abnormally heavy menstrual bleeding and genital hemorrhage in both trials were reported in the first 28 days as estradiol and progesterone levels were falling. A very high proportion of women in each study achieved amenorrhea, including 72.7% in the uterine fibroids trial and 73.4% in the endometriosis trial. The common adverse events observed with relugolix in women with uterine fibroids or endometriosis were generally consistent with its mechanism of action and those observed with leuprolide.</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an interim analysis of the Phase 2 prostate cancer study C27002, the most common treatment-emergent adverse events occurring in at least 10% of men with advanced prostate cancer in the relugolix 80 mg or 120 mg once-daily arms, or leuprolide arm, included hot flash, alanine aminotransferase increase, fatigue, cataract, aspartate aminotransferase increase, diabetes mellitus, hyperhidrosis, muscle spasm, injection site reaction, frequent daytime urination and weight decrease. The common adverse events observed with relugolix in men with prostate cancer were generally consistent with its mechanism of action and those observed with leuprolide.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Across all relugolix clinical trials, a total of 34 serious adverse events were reported in the more than 1,300 relugolix-treated subjects and patients as of July 10, 2016, of which three were reported by the investigator as possibly related to relugolix, including an event of abnormal liver function tests (moderate grade), one of cerebral infarction (grade unspecified) and one of embolic stroke (grade 2). Three deaths (grade 5 events) have occurred in patients treated with relugolix; all deaths occurred in the prostate cancer study, C27002, and were assessed as unrelated to relugolix.</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Bone mineral density decreases were observed at 12 and 24 weeks in premenopausal women treated with relugolix 40 mg once daily and were similar to those observed with leuprolide (3.75 mg subcutaneously administered every four weeks) over the same duration, consistent with the near complete estrogen suppression observed in the trials. Specifically, in the Phase 2 trial for relugolix for the treatment of uterine fibroids, the mean loss in bone mineral density in the relugolix 40 mg once-daily arm was 2.3% at week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following tables show the incidence of adverse events occurring in greater than 10% of women and the bone mineral density loss following administration of placebo, relugolix 40 mg or leuprolide in the Phase 2 trial for relugolix for the treatment of endometriosis.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153670</wp:posOffset>
            </wp:positionV>
            <wp:extent cx="5120005" cy="3704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2000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Relugolix administered without low-dose hormonal add-back therapy.</w:t>
      </w:r>
    </w:p>
    <w:p>
      <w:pPr>
        <w:spacing w:after="0" w:line="65" w:lineRule="exact"/>
        <w:rPr>
          <w:sz w:val="20"/>
          <w:szCs w:val="20"/>
          <w:color w:val="auto"/>
        </w:rPr>
      </w:pPr>
    </w:p>
    <w:p>
      <w:pPr>
        <w:jc w:val="both"/>
        <w:ind w:right="520" w:firstLine="456"/>
        <w:spacing w:after="0" w:line="298" w:lineRule="auto"/>
        <w:rPr>
          <w:sz w:val="20"/>
          <w:szCs w:val="20"/>
          <w:color w:val="auto"/>
        </w:rPr>
      </w:pPr>
      <w:r>
        <w:rPr>
          <w:rFonts w:ascii="Arial" w:cs="Arial" w:eastAsia="Arial" w:hAnsi="Arial"/>
          <w:sz w:val="16"/>
          <w:szCs w:val="16"/>
          <w:color w:val="auto"/>
        </w:rPr>
        <w:t>On the basis of the efficacy findings observed in this trial, we believe relugolix 40 mg once daily to be an appropriate dose for Phase 3 evaluation in women with heavy menstrual bleeding associated with uterine fibroids or endometriosis-associated pain. The purpose of co-administration with low-dose estradiol and progestin as add-back therapy, is to prevent bone mineral density loss and increase tolerability by ameliorating hot flash and other symptoms consistent with a hypoestrogenic state while maintaining the improvement in clinical symptoms, in support of longer-term dosing.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RVT-602</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license agreement with Takeda, we acquired the worldwide rights to RVT-602, our second product candidate, which has been evaluated in over 150 men. RVT-602 is an oligopeptide kisspeptin analog. Kisspeptin is a naturally-occurring peptide that stimulates GnRH release and is required for puberty and maintenance of normal reproductive function, including production of sperm, follicular maturation and ovulation, and production of estrogen and progesterone in women and testosterone in men. In the second half of 2017, we plan to initiate a Phase 1 healthy volunteer study in women followed by a Phase 2 proof-of-concept clinical trial for RVT-602 for the treatment of female infertility in women as part of assisted reproduction, such as IVF. We expect to submit an IND, or other comparable application, to the FDA or foreign regulatory authorities in the first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half of 2017. Approximately 1.5 million assisted reproduction cycles are performed each year worldwide. Further, approximately 25% of women suffering from infertility have problems achieving ovulation, including the inability to produce fully-matured eggs or the failure to ovulate, most commonly resulting from hormonal dysfunction in the GnRH-LH/FSH axis. We believe RVT-602 has the potential to be a safer alternative to human chorionic gonadotropin as a part of assisted reproduction for the treatment of female infertility.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Female Infertility and Assisted Reproduction</w:t>
      </w:r>
    </w:p>
    <w:p>
      <w:pPr>
        <w:spacing w:after="0" w:line="77"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Kisspeptin plays a key role in egg maturation and ovulation by increasing the release of LH and FSH through the stimulation of GnRH secretion. During the process of egg maturation, FSH stimulates an ovarian follicle, the sac which contains the developing egg, to grow and the egg within it to develop. When the egg is appropriately mature, a surge of LH occurs. Approximately 24 to 36 hours after the LH surge, the follicle bursts releasing the egg into the Fallopian tube. When hormonal imbalances occur, the processes of egg maturation and ovulation can be disrupted, decreasing a woman’s chances for pregnancy and resulting in female infertility.</w:t>
      </w:r>
    </w:p>
    <w:p>
      <w:pPr>
        <w:spacing w:after="0" w:line="12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major cause of female infertility is hormone imbalance, with approximately 85% related to hypothalamic-pituitary dysfunction. Fertility specialists use a group of medications, including GnRH agonists, to temporarily correct ovulatory problems and increase a woman’s chance for pregnancy. IVF is a method of assisted reproduction that involves surgically removing an egg from the woman’s ovary and combining it with sperm in a laboratory dish. If the egg is fertilized, resulting in an embryo, the embryo is transferred to the woman’s uterus. Every assisted reproduction cycle includes the following essential steps as part of the ultimate goal of pregnancy: (1) maturation of the ovarian follicles, which control the release of an egg in the ovaries, with preparations of LH and FSH; (2) prevention of premature ovulation by treating with a GnRH agonist to prevent release of LH; (3) triggering egg maturation at the appropriate time with human chorionic gonadotropin or a GnRH agonist; (4) egg retrieval and fertilization; and (5) transplantation of fertilized egg followed by biochemical tests for pregnancy.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Treatment Landscape for Assisted Reproduction</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Current treatments used in assisted reproduction cycles include preparations of FSH and LH administered to stimulate multiple follicles and eggs to grow and mature, followed by a GnRH agonist to prevent premature ovulation. At the right time, human chorionic gonadotropin or a GnRH agonist is administered as an injection to stimulate ovulation of the mature egg. Ovarian hyperstimulation syndrome, or OHSS, results from an abnormal enlargement of the ovarian follicles following egg maturation and stimulation with human chorionic gonadotropin or GnRH agonists (step 3 in the assisted reproduction cycle). Severe OHSS is characterized by ovarian enlargement, accumulation of fluid in the abdomen, nausea and vomiting, fluid in the chest cavity, and can even result in kidney and lung failure and death.</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Solution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RVT-602, an analog of the naturally-occurring kisspeptin peptide in humans, may mimic natural physiology by inducing the LH surge during IVF and other assisted reproductive technologies, enhancing the likelihood of successful egg maturation and ovulation at the right time without the serious side effect of OHSS. While assisted reproductive technologies are effective, typically resulting in pregnancy in 20% to 35% of patients, the standard procedure has remained largely unchanged since inception and has potentially serious side effects. The most serious side effect of assisted reproduction is OHSS. Severe OHSS has been reported to occur in up to 2% of the general assisted reproduction population, and in up to 20% of patients at high-risk for developing OHSS. OHSS is thought to occur as a result of the non-physiologic elevations in LH that occur as a result of egg maturation triggered with human chorionic gonadotropin and to a lesser extent the GnRH receptor agonists.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By acting upstream in the GnRH-axis to promote the release of physiologically normal levels of key hormones in the assisted reproduction cycle such as LH, kisspeptin analogs, such as RVT-602, may have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potential to trigger egg maturation without causing OHSS. A recently published investigator-sponsored trial where a native kisspeptin peptide (specifically, kisspeptin 54) was used in place of human chorionic gonadotropin as the egg-maturation trigger in the assisted reproduction cycle showed that none of the 60 high-risk patients developed moderate-to-severe OHSS and resulted in a live birth rate of up to 65.1% at the maximally efficacious dose tested. These encouraging results validate the potential use of these agents as a safe alternative to the standard egg maturation trigger in every assisted reproduction protocol. To our knowledge, RVT-602 is the only kisspeptin analog in clinical development and thus has the potential to become a safe alternative egg-maturation trigger in this space.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Phase 2 Clinical Development Plan</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RVT-602 was initially developed by Takeda as an ADT for prostate cancer and, with a different dosing regimen, as a treatment for hypogonadotropic hypogonadism, or a state of low testosterone levels in men. Both acute and continuous administrations of RVT-602 have been studied in human males. Phase 1 trials demonstrated that RVT-602 in single doses as low as 1 µg given by subcutaneous injection was a potent stimulus of LH and testosterone concentrations, while continuous infusion of RVT-602 ultimately results in reversible suppression of testosterone. Over 150 men have been treated to date. In April 2016, we acquired exclusive, worldwide rights to RVT-602 for all human diseases and conditions. Takeda is no longer developing this compound. Although RVT-602 may have potential as a treatment for prostate cancer and hypogonadotropic hypogonadism. We believe RVT-602 has the potential to be a safer alternative to human chorionic gonadotropin as a part of assisted reproduction for the treatment of female infertility.</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explore this hypothesis, in the second half of 2017, we plan to initiate a Phase 1 single-ascending dose safety and pharmacokinetic/pharmacodynamic study in healthy female volunteers. This is expected to be followed by an open-label proof-of-concept Phase 2 study in women undergoing IVF. The objective of the Phase 2 study will be to further evaluate the safety of RVT-602 in women undergoing assisted reproduction, particularly with respect to the occurrence of OHSS.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Pharmacokinetic and Safety Data for RVT-602</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RVT-602 has been studied in five Phase 1 trials, conducted between June 2008 and September 2011, involving men aged 50 to 79 who were either healthy or had prostate cancer. The pharmacokinetics of single and repeated doses of RVT-602 or as administered by infusion is predictable as a function of dose, and is stable over time. Single doses as low as 1 µg potently stimulate LH and testosterone release in healthy males, while repeated higher doses or continuous subcutaneous infusion rapidly down regulate the pituitary-testicular axis. The overall safety profile was favorable. Non-severe or non-serious adverse events included hot flash, loose stools, diarrhea, dizziness, orthostatic hypotension, headache and injection site reactions.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vitro and in vivo pharmacological studies have shown that RVT-602 is a potent agonist of kisspeptin receptors. Continuous subcutaneous administration of RVT-602 was effective in lowering plasma testosterone levels in rats, dogs, monkeys and humans, suggesting that it has potential as an ADT in advanced prostate cancer, while low-dose and intermittent RVT-602 therapy may be effective as a stimulatory agent for secondary hypogonadotropic hypogonadism, as well as for late onset hypogonadism, in humans.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Safety pharmacology studies showed that there were no effects on the cardiovascular, respiratory and central nervous systems, with the exception of a slight and transient decrease in body temperature in rats at the subcutaneous dose of 3 mg/kg and higher. In toxicity studies, subcutaneous doses of RVT-602 were well tolerated in rats and dogs. In rats, subcutaneous treatment with RVT-602 resulted in localized atrophy of the seminiferous tubules at single or repeated doses as low as 0.003 mg/kg, and this lesion did not resolve 13 weeks after cessation of treatment. The RVT-602-induced focal atrophy in the rat testis appears to be species-specific, as such changes were not noted in dogs. Similar species specificity has been observed for GnRH agonists. RVT-602 is not mutagenic or clastogenic.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overall safety profile to date and the observed effects on the pituitary-gonadal axis in animals and humans support the continued development of RVT-</w:t>
      </w:r>
    </w:p>
    <w:p>
      <w:pPr>
        <w:spacing w:after="0" w:line="50" w:lineRule="exact"/>
        <w:rPr>
          <w:sz w:val="20"/>
          <w:szCs w:val="20"/>
          <w:color w:val="auto"/>
        </w:rPr>
      </w:pPr>
    </w:p>
    <w:p>
      <w:pPr>
        <w:ind w:firstLine="8"/>
        <w:spacing w:after="0" w:line="302" w:lineRule="auto"/>
        <w:tabs>
          <w:tab w:leader="none" w:pos="351"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believe that RVT-602 may promote ovulation in a physiologic manner during IVF without the life-threatening side effect of OHSS. Therefore, we plan to explore the utility of RVT-602 for the treatment of female infertility as part of assisted reproductive technology, such as IVF, specifically as a potential replacement for human chorionic gonadotropin.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Takeda Pharmaceuticals International AG</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2016, we entered into a license agreement with Takeda, or the Takeda Agreement. Pursuant to the Takeda Agreement, Takeda granted to us an exclusive, royalty-bearing license under certain patents and other intellectual property controlled by Takeda to develop and commercialize the compound TAK-385, which we now refer to as relugolix, and the compound TAK-448, which we now refer to as RVT-602, and products containing these compounds for all human diseases and conditions. The territory for our exclusive license for relugolix covers all countries worldwide, except that Takeda retains exclusive rights to Japan, China, Hong Kong, Indonesia, Korea, Malaysia, Philippines, Singapore, Taiwan, Thailand and Vietnam, (including, in each case, the territories and possession of each of the foregoing), which we collectively refer to as the Takeda Territory. Takeda has granted us a non-exclusive license in the Takeda Territory to manufacture relugolix and to conduct development of relugolix for prostate cancer, solely for our territory. The territory for our exclusive license for RVT-602 covers all countries worldwide. Our license includes a right of reference to regulatory materials related to relugolix and RVT-602 controlled by Takeda.</w:t>
      </w:r>
    </w:p>
    <w:p>
      <w:pPr>
        <w:spacing w:after="0" w:line="10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Under the Takeda Agreement, we granted to Takeda an exclusive, royalty-bearing license in the Takeda Territory under certain patents and other intellectual property controlled by us to develop and commercialize relugolix and products containing relugolix for all human diseases and conditions, subject to our non-exclusive rights to conduct development and manufacturing as described above. We also granted to Takeda a non-exclusive license in our territory to manufacture relugolix and RVT-602 and to conduct development of relugolix for uterine fibroids and endometriosis, in each case solely for the Takeda Territory. Takeda’s license includes a right of reference to regulatory materials controlled by us. If Takeda determines not to seek regulatory approval for or to commercialize relugolix in any country in the Takeda Territory, then we have a right of first negotiation to acquire the rights to seek regulatory approval and commercialize relugolix in such country.</w:t>
      </w:r>
    </w:p>
    <w:p>
      <w:pPr>
        <w:spacing w:after="0" w:line="1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solely responsible, at our expense, for all activities related to the development of relugolix and RVT-602 in our territory and all activities related to the development of relugolix through the receipt of regulatory approval for prostate cancer in the Takeda Territory. Pursuant to the terms of the Takeda Agreement, we are required to use commercially reasonable efforts to develop and obtain regulatory approval of relugolix for the treatment, prevention, cure or control of symptoms associated with uterine fibroids or endometriosis and RVT-602 in our territory, as well as to develop and obtain regulatory approval of relugolix for prostate cancer in Japan and the United States. We are solely responsible, at our expense, for all activities related to the commercialization of relugolix and RVT-602 in our territory and must use commercially reasonable efforts to do so in each country in our territory in which we obtain regulatory approval. Takeda is solely responsible, at its expense, for all activities related to the commercialization of relugolix in the Takeda Territory, and must use diligent efforts to commercialize relugolix for prostate cancer in the Takeda Territory following receipt of regulatory approval.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pay Takeda a fixed, high single-digit royalty on net sales of relugolix and RVT-602 products in our territory, subject to certain agreed reductions. Takeda will pay us a royalty at the same rate as ours on net sales of relugolix products for prostate cancer in the Takeda Territory, subject to certain agreed reductions. Royalties are required to be paid, on a product-by-product and country-by-country basis, until the latest to occur of the expiration of the last to expire valid claim of a licensed patent covering such product in such country, the expiration of regulatory exclusivity for such product in such country, or 10 years after the first commercial sale of such product in such country. Under the Takeda Agreement, there was no upfront payment and there are no payments upon the achievement of clinical development or marketing approval milestones.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period commencing on the effective date of the Takeda Agreement and ending two years after the first commercial sale of product containing relugolix in a major market country, we and Roivant Sciences Ltd., have both agreed that we will not, directly or indirectly, and will cause all of our respective affiliates (other than any affiliate that is a public company) not to, alone or with others, research (or fund any research), develop, make, use, sell, offer for sale, or import any competing product in our territory or the Takeda Territory or enter into any agreement with any third party with respect to a license or other acquisition of rights relating to any competing product in our territory or the Takeda Territory. For these purposes, a competing product is (1) any small molecule oral GnRH receptor antagonist (other than a product containing relugolix) for uterine fibroids, endometriosis or prostate cancer, and (2) any product containing RVT-602 for prostate cancer in the Takeda Territory. If, during such period, we or any of our non-public affiliates is acquired by a third party that is developing or commercializing a competing product, then we must divest our interest or terminate the development or commercialization of the competing product or cause our affiliate to do so.</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Takeda Agreement will expire, on a product-by-product and country-by-country basis, on the expiration of the royalty payment term described above for such product in such country. Either party may terminate the Takeda Agreement for the other party’s uncured material breach, challenge to the patents licensed under the Takeda Agreement or insolvency. Takeda may terminate the Takeda Agreement with respect to a compound if we cease development or commercialization of such compound. We may terminate the agreement at will, in our sole discretion, in its entirety, or with respect to relugolix for prostate cancer or both endometriosis and uterine fibroids, or on a compound by compound basis for all fields, upon prior notice, with the notice period depending on the compound and field to be terminated and the regulatory status at the time that notice of termination is given. We may also terminate the agreement with respect to a compound for safety reasons or lack of commercial viability. If the agreement is terminated in its entirety or with respect to relugolix for prostate cancer, other than for safety reasons or by us for Takeda’s uncured material breach, prior to receipt of the first regulatory approval of relugolix for prostate cancer in Japan, then we must either reimburse Takeda for its out of pocket costs and expenses directly incurred in connection with Takeda’s completion of the relugolix development for prostate cancer, up to an agreed cap, or complete ourselves the conduct of any clinical trials of relugolix for prostate cancer that are ongoing as of the effective date of such termination, at our cost and expense. If we reimburse Takeda for such costs, then under certain circumstances we may be later reimbursed by Takeda through a royalty on sales of the terminated relugolix product.</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Takeda Agreement, we issued 5,077,001 common shares, then equal to 12% of our outstanding share capital, to Takeda pursuant to a subscription agreement, and also issued Takeda a warrant to enable them to maintain its 12% ownership of us through the one-year anniversary of the warrant, unless earlier terminated as a result of our change in control. We also entered into an investor rights agreement with Takeda. Please see the sections titled “Certain Relationships and Related Party Transactions—Relationship with Takeda Pharmaceuticals International AG” and “—Investor Rights Agreement” for further information regarding these agreements and the warrant.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Negotiation and Board Observer Agreement with Pfizer</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October 2016, we and an entity affiliated with Pfizer Inc., or the Pfizer Affiliate, entered into a right of first negotiation and board observer agreement, or the Pfizer Agreement. Pursuant to the Pfizer Agreement, contingent upon the closing of the sale of at least $30.0 million of our common shares to the Pfizer Affiliate in this offering or in a concurrent private placement, we have agreed to grant to the Pfizer Affiliate a right of first negotiation with respect to any transaction that we would propose to a third party involving (1) the license or sale of rights to develop and commercialize relugolix or RVT-602 for the treatment of heavy menstrual bleeding associated with uterine fibroids, endometriosis-associated pain, advanced prostate cancer or female infertility as part of assisted reproduction, in each case, in a major market country, or (2) a change of control of Myovant or the sale or disposition of all or substantially all of our assets. The right of first negotiation will terminate upon the earliest of (1) the third anniversary of the closing of this offering, (2) such time as the Pfizer Affiliate, together with its affiliates, owns less than 51% of the common shares purchased by the Pfizer Affiliate in this offering or in a concurrent private placement, (3) a change of control of Myovant, (4) the sale or disposition of all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substantially all of our assets and (5) the liquidation or other dissolution of Myovant. In addition, during such period that the Pfizer Affiliate holds a right of first negotiation, one representative of the Pfizer Affiliate may attend any meetings of our board of directors in a non-voting observer capacity, subject to standard exceptions, such as conflict of interest. Such observer right will also terminate at such time as we file an NDA with the FDA for relugolix. The Pfizer Agreement will terminate upon the earliest of (1) the fifth anniversary of the closing of this offering, (2) such time as the Pfizer Affiliate, together with its affiliates, owns less than 51% of the common shares purchased by the Pfizer Affiliate in this offering or in a concurrent private placement, (3) a change of control of Myovant, (4) the sale or disposition of all or substantially all of our assets, (5) the liquidation or other dissolution of Myovant, and (6) such time as we file an NDA with the FDA for relugolix.</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do not have our own marketing, sales or distribution capabilities. In order to commercialize our product candidates, if approved for commercial sale, we must either develop a sales and marketing infrastructure or collaborate with third-parties that have sales and marketing experience. We plan to directly commercialize our product candidates in the United States. In other markets for which commercialization may be less capital efficient for us, we may selectively pursue strategic collaborations with third parties in order to maximize the commercial potential of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no experience in drug formulation or manufacturing and do not own or operate, and we do not expect to own or operate, facilities for product manufacturing, storage and distribution, or testing. While relugolix was being developed by Takeda, it was also being manufactured by Takeda. In June 2016, we and Takeda’s affiliate, Takeda Pharmaceutical Company Limited, or Takeda Limited, entered into an agreement for the manufacture and supply of relugolix. Under this agreement, Takeda Limited will supply to us and we will obtain from Takeda Limited all of our requirements for relugolix drug substance and drug product to be used under our development plans for all indications. If we request, Takeda Limited will assist us with a technical transfer of the manufacturing process for relugolix to us or our designee and we will pay the expenses related to such transfer.</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the existing drug substance transferred from Takeda to us under the Takeda Agreement will be sufficient for us to complete our planned Phase 3 programs for relugolix. If relugolix is approved by the FDA for commercial use, we also will rely on Takeda or other third-party manufacturers to supply us with sufficient commercial quantities of relugolix. In addition, we expect that the RVT-602 drug substance transferred from Takeda to us under the Takeda Agreement will be sufficient for us to complete our planned Phase 3 program for RVT-602. We intend to contract with a third party to fill, finish, supply, store and distribute the drug product for this program, if necessary. If we are unable to continue our relationship with Takeda or initiate a new relationship with one or more other third-party manufacturers, we could experience delays in our commercialization efforts as we locate and qualify new manufacturers.</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Relugolix is a small molecule that can be manufactured using commercially available technologies. We acquired data from Takeda related to the chemical synthesis and manufacturing of relugolix, and we expect that we will be able to contract with third-party manufacturers for commercial supplies of relugolix on a cost-efficient basis based on our understanding of the simple structure and synthesis of the compound.</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which govern recordkeeping, manufacturing processes and controls, personnel, quality control and quality assurance, among others. We expect that all of our contract manufacturing organizations will manufacture relugolix under current Good Manufacturing Practice, or cGMP, conditions. cGMP is a regulatory standard for the production of pharmaceuticals to be used in humans.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consider relugolix’s most direct competitor for the treatment of heavy menstrual bleeding associated with uterine fibroids and endometriosis-associated pain to be elagolix, a GnRH receptor antagonist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development at AbbVie that is currently in Phase 3 development. ObsEva is also developing an oral GnRH antagonist, OBE2109, for the treatment of endometriosis and uterine fibroids. ObsEva is initiating a Phase 2 clinical trial evaluating multiple doses in women with endometriosis and may start a Phase 3 study in women with uterine fibroids in the first quarter 2017. Further, Allergan is developing ulipristal, a selective progesterone receptor modulator, in the United States for uterine fibroids and expects to file an NDA with the FDA in 2017. We believe the development of multiple GnRH receptor antagonists by other biopharmaceutical firms adds further validation to the therapeutic relevance of GnRH as a target for the treatment of women’s health diseases and other endocrine-related disorders.</w:t>
      </w:r>
    </w:p>
    <w:p>
      <w:pPr>
        <w:spacing w:after="0" w:line="13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other GnRH receptor antagonists in active development, we are aware of many biotechnology and pharmaceutical companies as well as academic institutions, government agencies and private and public research institutions that are developing, and may in the future develop and commercialize, products for gender-specific hormone disorders.</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Drug development is highly competitive and subject to rapid and significant technological advancements. Our ability to compete will significantly depend upon our ability to complete necessary clinical trials and regulatory approval processes, and effectively market any drug that we may successfully develop. Our current and potential future competitors include pharmaceutical and biotechnology companies, academic institutions and government agencies. The primary competitive factors that will affect the commercial success of any product candidate for which we may receive marketing approval include efficacy, safety and tolerability profile, dosing convenience, price, coverage and reimbursement. 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Accordingly, our competitors may be more successful than us in obtaining regulatory approval for therapies and in achieving widespread market acceptance of their drugs. It is also possible that the development of a cure or more effective treatment method for uterine fibroids, endometriosis or prostate cancer by a competitor could render our product candidate non-competitive or obsolete or reduce the demand for our product candidate before we can recover our development and commercialization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relugolix, RVT-602 and any of our future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filing or in-licensing U.S. and foreign patents and patent applications related to our proprietary technology, inventions and improvements that are important to the development and implementation of our business. We also rely on trademarks, trade secrets, know-how, continuing technological innovation and potential in-licensing opportunities to develop and maintain our proprietary position.</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While we seek broad coverage under our existing patent applications, there is always a risk that an alteration to the process may provide sufficient basis for a competitor to avoid infringement claims. In addition, patents, if granted, expire and we cannot provide any assurance that any patents will be issued from our pending or any future applications or that any potentially issued patents will adequately protect our products or product candidates.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Following our execution of the Takeda Agreement, as of June 30, 2016, by virtue of the license of patent rights under the Takeda Agreement, we are the exclusive licensee of multiple granted U.S. patents, and pending patent applications, as well as patents and patent applications in numerous foreign jurisdictions relating to relugolix and RVT-602. For relugolix, we are the exclusive worldwide licensee, excluding the Takeda Territory. As they relate to relugolix, these patents and patent applications cover the relugolix molecule and analogs thereof as a composition of matter, the use of relugolix to treat sex-hormone dependent prostate cancer or hysteromyoma (uterine fibroids), as well as methods of manufacturing. The patent family directed to the relugolix composition of matter and methods of use naturally expires in 2024, subject to any extension of patent term that may be available in a particular country. The patent applications directed to methods of manufacturing, if issued, would naturally expire in 2033 subject to any adjustment or extension of patent term that may be available in a particular country. For example, we expect the term of the composition of matter patent to relugolix will be extended up to about five years, or 2029, under the provisions of the Hatch-Waxman Act.</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RVT-602, we are the exclusive worldwide licensee of multiple U.S. patents and patent applications as well as patents and patent applications in numerous foreign jurisdictions. These patents and patent applications cover the RVT-602 molecule as a composition of matter, and its use in treating advanced prostate cancer, as well as certain sustained release formulations containing RVT-602. The patent family directed to the RVT-602 composition of matter and method of use naturally expires in 2028 in the U.S. and in 2026 ex-U.S., subject to any extension of patent term that may be available in a particular country. The patent applications directed to the sustained release formulations of RVT-602, if issued, would naturally expire in 2030 and 2031, subject to any adjustment or extension of patent term that may be available in a particular country. For example, in the United States, we expect the term of the composition of matter patent to RVT-602 will be extended up to about three years, or 2031, under the provisions of the Hatch-Waxman Act.</w:t>
      </w:r>
    </w:p>
    <w:p>
      <w:pPr>
        <w:spacing w:after="0" w:line="10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we rely upon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Drug Approval Process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at any time during the product development process may subject a company to a variety of administrative or judicial sanctions, such as FDA refusal to approve pending NDAs warning or untitled letters, imposition of a clinical hold, withdrawal of approval, product recalls, product seizures, total or partial suspension of production or distribution, injunctions, fines, civil penalties and criminal prosecution.</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cannot market a drug product candidate in the United States until the drug has received FDA approval. The steps required before a drug may be marketed in the United States generally include the following:</w:t>
      </w:r>
    </w:p>
    <w:p>
      <w:pPr>
        <w:spacing w:after="0" w:line="37"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animal studies, and formulation studies in accordance with the FDA’s GLP regulations;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drug for each proposed indication;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03"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active pharmaceutical ingredient, or API, and finished drug product are produced and tested to assess compliance with cGMPs;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Satisfaction of FDA pre-market approval requirements typically takes many years and the actual time required may vary substantially based upon the type, complexity and novelty of the product or disease.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An IND sponsor must submit the results of preclinical testing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30-day waiting period after the submission of each IND is required prior to the commencement of clinical testing in humans. If the FDA has neither commented on nor questioned the IND within this 30-day period, the clinical trial proposed in the IND may begin. If the FDA raises concerns or questions about the conduct of the trial, such as whether human research subjects will be exposed to an unreasonable health risk, the IND sponsor and the FDA must resolve any outstanding FDA concerns or questions before clinical trials can proceed.</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in compliance with federal regulations, including GCP requirements, which include the requirement that all research subjects provide their informed consent in writing for their participation in any clinical trial. Clinical trials are conducted under protocols detailing the objectives of the trial, the parameters to be used in monitoring safety and the effectiveness criteria to be evaluated. Each protocol and subsequent protocol amendments must be submitted to the FDA as part of the IND.</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at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or NIH, for public dissemination on their www.clinicaltrials.gov website.</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side effects associated with increasing doses and, if possible, early evidence on effectiveness. Phase 2 usually involves trials in a limited patient population to determine metabolism,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clinical trial with other confirmatory evidence may be sufficient in rare instances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1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and the manufacturer and sponsor under an approved NDA are also subject to annual product and establishment user fees. These fees are typically increased annually.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w:t>
      </w:r>
    </w:p>
    <w:p>
      <w:pPr>
        <w:spacing w:after="0" w:line="10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Once the submission is accepted for filing, the FDA begins an in-depth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cGMPs is satisfactory and the NDA contains data that provide substantial evidence that the drug is safe and effective in the indication studied.</w:t>
      </w:r>
    </w:p>
    <w:p>
      <w:pPr>
        <w:spacing w:after="0" w:line="10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risk evaluation and mitigation strategy, or REMS, to ensure that the benefits of the drug outweigh the potential risks. A REMS can include a medication guide, a communication plan for healthcare professionals and elements to assure safe use, such as special training and certification requirements for individuals who prescribe or dispense the drug, requirements that patients enroll in a registry and other measures that the FDA deems necessary to assure the safe use of the drug.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or problems are identified following initial marketing.</w:t>
      </w:r>
    </w:p>
    <w:p>
      <w:pPr>
        <w:spacing w:after="0" w:line="109"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Once an NDA is approved, a product may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and social media. Drugs may be marketed only for the approved indications and in accordance with the provisions of the approved labeling.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Adverse event reporting and submission of periodic reports is required following FDA approval of an NDA. The FDA also may require post-marketing testing, known as Phase 4 testing, REMS, surveillance to monitor the effects of an approved product, or restrictions on the distribution or use of the product.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5" w:lineRule="exact"/>
        <w:rPr>
          <w:sz w:val="20"/>
          <w:szCs w:val="20"/>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or injunctions or the imposition of civil or criminal penalties.</w:t>
      </w:r>
    </w:p>
    <w:p>
      <w:pPr>
        <w:spacing w:after="0" w:line="20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currently do not have any products on the market,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Violations of this law are punishable by up to five years in prison, and can also result in criminal fines, civil money penalties and exclusion from participation in federal healthcare programs.</w:t>
      </w:r>
    </w:p>
    <w:p>
      <w:pPr>
        <w:spacing w:after="0" w:line="11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Moreover, a claim including items or services resulting from a violation of the federal Anti-Kickback Statute constitutes a false or fraudulent claim for purposes of the federal civil False Claims Act.</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10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to the extent that any of our products are sold in a foreign country, we may be subject to similar foreign laws.</w:t>
      </w:r>
    </w:p>
    <w:p>
      <w:pPr>
        <w:spacing w:after="0" w:line="1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HIPAA, as amended by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 criminal penalties.</w:t>
      </w:r>
    </w:p>
    <w:p>
      <w:pPr>
        <w:spacing w:after="0" w:line="10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Affordable Care Act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Certain states also mandate implementation of compliance programs, impose restrictions on drug manufacturer marketing practices or require the tracking and reporting of gifts, compensation or other remuneration to physicians.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Reform</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There have been and continue to be a number of initiatives at the United States federal and state levels that seek to reduce healthcare costs.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particular, the Affordable Care Act has had, and is expected to continue to have, a significant impact on the healthcare industry. The Affordable Care Act was designed to expand coverage for the uninsured while at the same time containing overall healthcare costs. With regard to pharmaceutical products, among other things, the Affordable Care Act revised the definition of “average manufacturer price” for calculating and reporting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Medicaid drug rebates on outpatient prescription drug prices and imposed a significant annual fee on companies that manufacture or import certain branded prescription drug products. Substantial new provisions affecting compliance have also been enacted, which may require us to modify our business practices with healthcare providers and entities, and a significant number of provisions are not yet, or have only recently become, effective.</w:t>
      </w:r>
    </w:p>
    <w:p>
      <w:pPr>
        <w:spacing w:after="0" w:line="9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continue to evaluate the effect that the Affordable Care Act will have on our business. In the coming years, additional legislative and regulatory changes could be made to governmental health programs that could significantly impact pharmaceutical companies and the success of our product candidate.</w:t>
      </w:r>
    </w:p>
    <w:p>
      <w:pPr>
        <w:spacing w:after="0" w:line="4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the President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2% per fiscal year, which went into effect on April 1, 2013 and, due to subsequent legislative amendments to the statute, will stay in effect through 2025 unless additional Congressional action is taken. 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Moreover, the Drug Supply Chain Security Act,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77"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Sales of our product candidates, once approved, will depend, in part, on the extent to which the costs of our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27"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once approved as a benefit under their plans or, if they do, the level of reimbursement may not be sufficient to allow us to sell our products on a profitable basis. Decreases in third-party reimbursement for our products once approved or a decision by a third-party payor to not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September 30, 2016, we had no employees, and our wholly-owned subsidiary, Myovant Sciences, Inc., had nine employees, including seven who are engaged in research and development activities. The employees of Myovant Sciences, Inc. provide services to us pursuant to an intercompany services agreement between us and Myovant Sciences,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registered office is located at Clarendon House, 2 Church Street, Hamilton HM11, Bermuda, and we also have business operations at Park Place, 55 Par-La-Ville Road, Hamilton HM11, Bermuda. In anticipation of conducting extensive research and development and building out the functions, personnel and facilities necessary for commercialization of relugolix and RVT-602, if approved, we have established an indirect, wholly-owned subsidiary, Myovant Sciences GmbH, with its principal offices in Basel, Switzerland. We expect that Myovant Sciences GmbH will be the principal operating company for conducting our business and the entity that will hold our intellectual property rights in relugolix and RVT-602.</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wholly-owned subsidiary, Myovant Sciences, Inc., leases approximately 11,689 square feet of office space in Brisbane, California on a month to month basis for clinical research and development operations and administrative functions. Our affiliate, Roivant Sciences GmbH, leases office space in Basel, Switzerland and our controlling shareholder, Roivant Sciences Ltd., leases office space in Hamilton, Bermuda for business development, intellectual property management and other administrative functions. We anticipate that Myovant Sciences GmbH will sublease space from Roivant Sciences GmbH in Basel, from which we will conduct business development, intellectual property management, commercial preparation and clinical research and development activities. Our affiliate, Roivant Sciences, Inc., leases office space in New York, New York and Durham, North Carolina for clinical and non-clinical research and development operations and finance operations. We do not anticipate that Myovant Sciences, Inc. will separately sublease space in New York or North Carolina, and the clinical research and development and other activities in those locations will be carried out by Roivant Sciences, Inc. at our direction in accordance with our services agreement with Roivant Sciences, Inc. See “Certain Relationships and Related Party Transactions—Relationship with Roivant Sciences, Inc.—</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Services Agreement” for additional information regarding this agreement. We intend to add new facilities or expand our existing facilities as we add employees, and we believe that suitable additional or substitute space will be available as needed to accommodate any such expansion of our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60"/>
          </w:cols>
          <w:pgMar w:left="24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concerning our executive officers, including their ages as of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6700" w:type="dxa"/>
            <w:vAlign w:val="bottom"/>
          </w:tcPr>
          <w:p>
            <w:pPr>
              <w:ind w:left="3120"/>
              <w:spacing w:after="0"/>
              <w:rPr>
                <w:sz w:val="20"/>
                <w:szCs w:val="20"/>
                <w:color w:val="auto"/>
              </w:rPr>
            </w:pPr>
            <w:r>
              <w:rPr>
                <w:rFonts w:ascii="Arial" w:cs="Arial" w:eastAsia="Arial" w:hAnsi="Arial"/>
                <w:sz w:val="14"/>
                <w:szCs w:val="14"/>
                <w:b w:val="1"/>
                <w:bCs w:val="1"/>
                <w:color w:val="auto"/>
              </w:rPr>
              <w:t>Position</w:t>
            </w:r>
          </w:p>
        </w:tc>
      </w:tr>
      <w:tr>
        <w:trPr>
          <w:trHeight w:val="181"/>
        </w:trPr>
        <w:tc>
          <w:tcPr>
            <w:tcW w:w="418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Lynn Seely, M.D.*</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7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Frank Karbe*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Marianne L. Romeo**</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700" w:type="dxa"/>
            <w:vAlign w:val="bottom"/>
          </w:tcPr>
          <w:p>
            <w:pPr>
              <w:spacing w:after="0"/>
              <w:rPr>
                <w:sz w:val="20"/>
                <w:szCs w:val="20"/>
                <w:color w:val="auto"/>
              </w:rPr>
            </w:pPr>
            <w:r>
              <w:rPr>
                <w:rFonts w:ascii="Arial" w:cs="Arial" w:eastAsia="Arial" w:hAnsi="Arial"/>
                <w:sz w:val="18"/>
                <w:szCs w:val="18"/>
                <w:color w:val="auto"/>
              </w:rPr>
              <w:t>Head, Global Transactions &amp; Risk Management</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Mark Altmeyer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6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Wayne DeVeydt(1)(2)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Keith Manchester, M.D.(2)(3)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6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Vivek Ramaswamy</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6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38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Kathleen Sebelius(1)(2)(3)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67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 w:hanging="452"/>
        <w:spacing w:after="0" w:line="25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of our wholly-owned subsidiary, Myovant Sciences, Inc. Such employee provides services to us pursuant to an intercompany services agreement between us and Myovant Sciences, Inc.</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Co-employee of our controlling shareholder, Roivant Sciences Ltd., and our affiliate, Axovant Sciences Ltd.</w:t>
      </w:r>
    </w:p>
    <w:p>
      <w:pPr>
        <w:spacing w:after="0" w:line="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audit committee. Mr. DeVeydt serves as the chair of this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compensation committee. Ms. Sebelius serves as the chair of this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Dr. Manchester serves as the chair of this committee.</w:t>
      </w:r>
    </w:p>
    <w:p>
      <w:pPr>
        <w:spacing w:after="0" w:line="1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Lynn Seely, M.D. </w:t>
      </w:r>
      <w:r>
        <w:rPr>
          <w:rFonts w:ascii="Arial" w:cs="Arial" w:eastAsia="Arial" w:hAnsi="Arial"/>
          <w:sz w:val="16"/>
          <w:szCs w:val="16"/>
          <w:color w:val="auto"/>
        </w:rPr>
        <w:t>has served as our Principal Executive Officer and as the President and Chief Executive Officer of Myovant Sciences, Inc.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From March 2005 to October 2015, Dr. Seely served as Chief Medical Officer of Medivation, Inc. where she served on the Executive Committee and led the development of Xtandi for the treatment of metastatic castration-resistant prostate cancer from IND-enabling studies through to NDA approval and post-approval clinical studies. Dr. Seely was responsible for building the clinical organization at Medivation, as well as the regulatory, quality, project management, medical affairs and biologics manufacturing functions. Dr. Seely currently serves on the board of directors of Blueprint Medicines Corporation, and she previously served as Vice-President of Clinical Development at Anesiva, Inc. (formerly Corgentech) and at Cytyc Health Corporation. Dr. Seely has served on the board of directors of Blueprint Medicines Corporation since April 2016. Dr. Seely received an M.D. from the University of Oklahoma College of Medicine and completed her residency in internal medicine at Yale-New Haven Hospital. After serving as Chief Resident in Internal Medicine at Yale University School of Medicine, she completed her basic science and clinical fellowship in endocrinology and metabolism at the University of California, San Diego.</w:t>
      </w:r>
    </w:p>
    <w:p>
      <w:pPr>
        <w:spacing w:after="0" w:line="10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Frank Karbe </w:t>
      </w:r>
      <w:r>
        <w:rPr>
          <w:rFonts w:ascii="Arial" w:cs="Arial" w:eastAsia="Arial" w:hAnsi="Arial"/>
          <w:sz w:val="16"/>
          <w:szCs w:val="16"/>
          <w:color w:val="auto"/>
        </w:rPr>
        <w:t>has served as our Principal Financial and Accounting Officer and as the interim Chief Financial Officer of Myovant Sciences,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2016. From September 2014 to July 2016, Mr. Karbe served as President of The Color Run, a global mass participation events platform. From January 2004 to June 2014, Mr. Karbe was the Executive Vice President and Chief Financial Officer of Exelixis, Inc., a publicly-traded biotechnology company. Prior to joining Exelixis in 2004, Mr. Karbe worked as an investment banker for Goldman Sachs &amp; Co., where he served most recently as Vice President in the healthcare group focusing on corporate finance and mergers and acquisitions in the biotechnology industry. Prior to joining Goldman Sachs in 1997, Mr. Karbe held various positions in the finance department of The Royal Dutch/Shell Group in Europe. Mr. Karbe currently serves on the board of directors of Arbutus Biopharma Corporation and Kolltan Pharmaceuticals, Inc. Mr. Karbe received his Diplom-Kaufmann from the WHU-Otto Beisheim Graduate School of Management, Koblenz, Germany.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Marianne L. Romeo </w:t>
      </w:r>
      <w:r>
        <w:rPr>
          <w:rFonts w:ascii="Arial" w:cs="Arial" w:eastAsia="Arial" w:hAnsi="Arial"/>
          <w:sz w:val="16"/>
          <w:szCs w:val="16"/>
          <w:color w:val="auto"/>
        </w:rPr>
        <w:t>has served as our Head, Global Transactions &amp; Risk Management since February 2016. Ms. Romeo has served as Head,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Transactions &amp; Risk Management of Roivant Sciences Ltd. since October 2014 and Axovant Sciences Ltd. since March 2015. Previously, Ms. Romeo had a 20 year career with Marsh Inc. in risk consulting and insurance brokerage, most recently serving as Managing Director and Head of Casualty from 2008 to 2014 and Senior Vice President and Healthcare Practice Leader from 2003 to 2008 for Bowring Marsh (Bermuda) Ltd., an international insurance placement broker and wholly owned subsidiary of Marsh Inc. During her time at Bowring Marsh, Ms. Romeo served in various functional roles, including excess casualty brokerage, risk management consulting, and business management. Ms. Romeo established the Healthcare Practice within Marsh’s Bermuda operation in 2003 and continues to serve on the Board of the Bermuda Society for Healthcare Risk Management (BSHRM). Ms. Romeo has served on the board of directors of Axovant Sciences Ltd. since March 2015. Ms. Romeo received her B.Sc. in Manufacturing Engineering, </w:t>
      </w:r>
      <w:r>
        <w:rPr>
          <w:rFonts w:ascii="Arial" w:cs="Arial" w:eastAsia="Arial" w:hAnsi="Arial"/>
          <w:sz w:val="16"/>
          <w:szCs w:val="16"/>
          <w:i w:val="1"/>
          <w:iCs w:val="1"/>
          <w:color w:val="auto"/>
        </w:rPr>
        <w:t>cum laude</w:t>
      </w:r>
      <w:r>
        <w:rPr>
          <w:rFonts w:ascii="Arial" w:cs="Arial" w:eastAsia="Arial" w:hAnsi="Arial"/>
          <w:sz w:val="16"/>
          <w:szCs w:val="16"/>
          <w:color w:val="auto"/>
        </w:rPr>
        <w:t>, from Tufts University and her M.S. in Occupational Health and Environmental Science from the City University of New York, Hunter College.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Mark Altmeyer </w:t>
      </w:r>
      <w:r>
        <w:rPr>
          <w:rFonts w:ascii="Arial" w:cs="Arial" w:eastAsia="Arial" w:hAnsi="Arial"/>
          <w:sz w:val="16"/>
          <w:szCs w:val="16"/>
          <w:color w:val="auto"/>
        </w:rPr>
        <w:t>has served as a member of our board of directors since September 2016. Since March 2015, Mr. Altmeyer has served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Commercial Officer of Axovant Sciences, Inc., a wholly-owned subsidiary of Axovant Sciences Ltd. From February 2009 to December 2014, Mr. Altmeyer served as Chief Executive Officer and President of Otsuka America Pharmaceutical, Inc. Prior to his time at Otsuka, Mr. Altmeyer served in a number of executive leadership roles at Bristol-Myers Squibb, including Senior Vice President, Global Commercialization from 2006 to 2008 and Senior Vice President, Neuroscience Business Unit from 2002 to 2005 during the approval and launch of Abilify, a branded drug used to treat multiple psychiatric conditions, including schizophrenia, depression and bipolar disorder. Mr. Altmeyer received his B.A. from Middlebury College and his M.B.A. from Harvard Business School. We believe Mr. Altmeyer’s extensive experience serving in executive leadership roles at pharmaceutical companies qualifies him to serve on our board of directors.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Wayne S. DeVeydt </w:t>
      </w:r>
      <w:r>
        <w:rPr>
          <w:rFonts w:ascii="Arial" w:cs="Arial" w:eastAsia="Arial" w:hAnsi="Arial"/>
          <w:sz w:val="16"/>
          <w:szCs w:val="16"/>
          <w:color w:val="auto"/>
        </w:rPr>
        <w:t>has served as a member of our board of directors since September 2016. From May 2007 to May 2016, Mr. DeVeydt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and Chief Financial Officer at Anthem, Inc., a health insurance company. From March 2005 to May 2007, he served as Anthem’s Senior Vice President and Chief Accounting Officer and also served as Chief of Staff to the Chairman and Chief Executive Officer from 2006 to 2007. Prior to joining Anthem, Mr. DeVeydt served as an audit partner at PricewaterhouseCoopers LLP, focused on companies in the national managed care and insurance industries. Mr. DeVeydt currently serves on the board of directors of NiSource Inc. Mr. DeVeydt received his Bachelor of Science in Business Administration from the University of Missouri in St. Louis. We believe Mr. DeVeydt’s significant experience in corporate governance, risk management and finance and accounting matters qualifies him to serve on our board of directors.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Keith Manchester, M.D. </w:t>
      </w:r>
      <w:r>
        <w:rPr>
          <w:rFonts w:ascii="Arial" w:cs="Arial" w:eastAsia="Arial" w:hAnsi="Arial"/>
          <w:sz w:val="16"/>
          <w:szCs w:val="16"/>
          <w:color w:val="auto"/>
        </w:rPr>
        <w:t>has served as a member of our board of directors since September 2016. He is also a member of the board of directors of Roivant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Ltd., a position he has held since May 2014, and of Arbutus Biopharma, a position he has held since March 2015. Dr. Manchester currently serves as a Managing Director and Head of Life Sciences for QVT Financial LP, an investment firm, where he has been employed since 2005, and focuses on investments in both publicly-traded and privately-owned life sciences companies. Prior to joining QVT Financial, Dr. Manchester was Vice President of Business Development from 2002 to 2004 and Director of Business Development from 2000 to 2002 at Applied Molecular Evolution, Inc., a biotechnology company. From 1999 to 2000, Dr. Manchester was an associate at Vestar Capital Partners, a private equity firm. From 1997 to 1999, Dr. Manchester was an investment banker in the healthcare group at Goldman, Sachs &amp; Co. Dr. Manchester received his A.B. degree from Harvard College and his M.D. from Harvard Medical School. We believe Dr. Manchester’s medical background, significant knowledge of the life sciences industry and his experience as a life sciences investor qualify him to serve on our board of directors.</w:t>
      </w:r>
    </w:p>
    <w:p>
      <w:pPr>
        <w:spacing w:after="0" w:line="10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Vivek Ramaswamy </w:t>
      </w:r>
      <w:r>
        <w:rPr>
          <w:rFonts w:ascii="Arial" w:cs="Arial" w:eastAsia="Arial" w:hAnsi="Arial"/>
          <w:sz w:val="18"/>
          <w:szCs w:val="18"/>
          <w:color w:val="auto"/>
        </w:rPr>
        <w:t>has served as a member of our board of directors since September 2016. Since March 2015, Mr. Ramaswamy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Executive Officer of Axovant Sciences Ltd. and the Chief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its wholly-owned subsidiary, Axovant Sciences, Inc. Mr. Ramaswamy also currently serves as President and Chief Executive Officer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Roivant Sciences, Inc., a drug development and commercialization company that is wholly-owned by Roivant Sciences Ltd., a position he has held since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From August 2007 to May 2014, Mr. Ramaswamy was a member of the investment team at QVT Financial LP. In addition, in 2007, Mr. Ramaswamy 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founded and served as the President of Campus Venture Network, a technology company that was acquired in 2009. Mr. Ramaswamy currently serves as member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board of directors of Axovant Sciences Ltd. and Roivant Sciences Ltd., as well as chairman of the board of directors of Arbutus Biopharma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Corporation. Mr. Ramaswamy received his A.B. degree, </w:t>
      </w:r>
      <w:r>
        <w:rPr>
          <w:rFonts w:ascii="Arial" w:cs="Arial" w:eastAsia="Arial" w:hAnsi="Arial"/>
          <w:sz w:val="16"/>
          <w:szCs w:val="16"/>
          <w:i w:val="1"/>
          <w:iCs w:val="1"/>
          <w:color w:val="auto"/>
        </w:rPr>
        <w:t>summa cum laude</w:t>
      </w:r>
      <w:r>
        <w:rPr>
          <w:rFonts w:ascii="Arial" w:cs="Arial" w:eastAsia="Arial" w:hAnsi="Arial"/>
          <w:sz w:val="16"/>
          <w:szCs w:val="16"/>
          <w:color w:val="auto"/>
        </w:rPr>
        <w:t>, in Biology from Harvard College and a J.D. from Yale Law School. We believe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Ramaswamy’s experience as Chief Executive Officer of Roivant Sciences, Inc. and Axovant Sciences, Inc., and his experience as a life sciences investor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member of the board of directors of publicly-traded biotechnology companies, qualify him to serve on our board of directors.</w:t>
      </w:r>
    </w:p>
    <w:p>
      <w:pPr>
        <w:spacing w:after="0" w:line="1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Kathleen Sebelius </w:t>
      </w:r>
      <w:r>
        <w:rPr>
          <w:rFonts w:ascii="Arial" w:cs="Arial" w:eastAsia="Arial" w:hAnsi="Arial"/>
          <w:sz w:val="18"/>
          <w:szCs w:val="18"/>
          <w:color w:val="auto"/>
        </w:rPr>
        <w:t>has served as a member of our board of directors since September 2016. From 2009 to June 2014, Ms. Sebelius served as U.S.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Health and Human Services, or HHS. As Secretary of HHS, she presided over 11 operating divisions, including the Centers for Disease Control and Prevention, Food and Drug Administration and National Institutes of Health and oversaw the passage and implementation of the Affordable Care Act. From 2003 to 2009, Ms. Sebelius was Governor of Kansas. From 1995 until 2003, Ms. Sebelius held the position of Kansas Insurance Commissioner, and from 1987 to 1995, she served in the Kansas House of Representatives. Ms. Sebelius currently serves on the board of directors of Dermira, Inc., Humacyte, Inc., Grand Rounds, Inc. and Hampton Creek, Inc. Ms. Sebelius received her B.A. in political science from Trinity Washington University and her Master of Public Administration from the University of Kansas. We believe that Ms. Sebelius’ extensive experience in executive leadership and public health qualify her to serve on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between our board of directors and our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accordance with our amended and restated bye-laws, which will become effective upon the closing of this offering, our board of directors will be divided into three classes, each of which will consist, as nearly as possible, of one-third of the total number of directors constituting our entire board and which will serve staggered three-year terms. At each general meeting of shareholders,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 w:lineRule="exact"/>
        <w:rPr>
          <w:sz w:val="20"/>
          <w:szCs w:val="20"/>
          <w:color w:val="auto"/>
        </w:rPr>
      </w:pPr>
    </w:p>
    <w:p>
      <w:pPr>
        <w:ind w:left="660" w:right="20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Class I, which will consist of Mark Altmeyer and Keith Manchester, M.D., and their term will expire at our first general meeting of shareholders to be held after the completion of this offering;</w:t>
      </w:r>
    </w:p>
    <w:p>
      <w:pPr>
        <w:spacing w:after="0" w:line="37"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Class II, which will consist of Kathleen Sebelius and Lynn Seely, M.D., and their term will expire at our second general meeting of shareholders to be held after the completion of this offering; and</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Class III, which will consist of Wayne S. DeVeydt and Vivek Ramaswamy, and their term will expire at our third general meeting of shareholders to be held after the completion of this offering.</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amended and restated bye-laws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As a result of this review, our board of directors has determined that Messrs. Altmeyer and DeVeydt and Ms. Sebelius representing three of the six members of our board of directors, are independent, as that term is defined under the applicable rules and regulations of the SEC and NYSE rules. Our board of directors has determined that (1) Dr. Seely, by virtue of her position as our Principal Executive Officer, (2) Dr. Manchester, by virtue of his affiliation with Roivant Sciences Ltd., and (3) Mr. Ramaswamy, by virtue of his affiliation with Roivant Sciences Ltd., are not independent under applicable SEC and NYSE rules.</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After the closing of this offering, we will be a “controlled company” within the meaning of applicable NYSE rules because more than 50% of the voting power for the election of directors will be held by Roivant Sciences Ltd. Under NYSE rules, as a “controlled company,” we will be exempt from the NYSE corporate governance requirements that our nominating and corporate governance committee and compensation committee consist solely of independent directors. We may rely on these exemptions from the corporate governance requirements until we are no longer a “controlled company” or until our board determines to no longer rely on these exemptions. It is currently contemplated that neither our compensation committee nor our nominating and corporate governance committee will consist entirely of independent directors. Accordingly, you may not have the same protections afforded to shareholders of companies that are subject to all of the corporate governance requirements of the NYSE. We may continue to rely on these exemptions so long as we are allowed to as a “controlled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have the composition and responsibilities described below. From time to time, the board may establish other committees to facilitate the management of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audit committee will review our internal accounting procedures and consult with and review the services provided by our independent registered public accountants. Our audit committee consists of two directors, Mr. DeVeydt and Ms. Sebelius. Mr. DeVeydt is the chair of the audit committee, and our board of directors has determined that Mr. DeVeydt is an audit committee financial expert, as defined by SEC rules and regulations.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controlled company exemption does not modify the independence requirements for an audit committee, and we intend to comply with the requirements of Rule 10A-3 of the Securities Exchange Act of 1934, as amended, or the Exchange Act, and the applicable NYSE rules. Under Rule 10A-3 of the Exchange Act, we are permitted to phase in our compliance with the independent audit committee requirements set forth in Rule 10A-3 of the Exchange Act as follows: (1) one independent member at the time of listing, (2) a majority of independent members within 90 days of listing and (3) all independent members within one year of listing. We are relying on this phase in exception and expect that all three members of our audit committee will be determined by our board of directors to be independent within one year of our listing on the NYSE. Our board of directors has determined that such reliance will not materially and adversely affect the ability of our audit committee to act independently and to satisfy the other requirements set forth in Rule 10A-3 of the Exchange Act.</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board of directors has determined that each of Mr. DeVeydt and Ms. Sebelius is an independent director under NYSE rules and each of Mr. DeVeydt and Ms. Sebelius is independent under Rule 10A-3 of the Exchange Act. We intend to continue to evaluate the requirements applicable to us and we intend to comply with future requirements to the extent that they become applicable to our audit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duties and responsibilities of our audit committee will include:</w:t>
      </w:r>
    </w:p>
    <w:p>
      <w:pPr>
        <w:spacing w:after="0" w:line="77" w:lineRule="exact"/>
        <w:rPr>
          <w:sz w:val="20"/>
          <w:szCs w:val="20"/>
          <w:color w:val="auto"/>
        </w:rPr>
      </w:pPr>
    </w:p>
    <w:p>
      <w:pPr>
        <w:ind w:left="660" w:right="6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recommending and retaining an independent registered public accounting firm to serve as independent auditor to audit our financial statements, overseeing the independent auditor’s work and determining the independent auditor’s compensation;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approving in advance all audit services and non-audit services to be provided to us by our independent auditor;</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45"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auditor the results of the annual audit and the independent auditor’s review of our quarterly financial statements; and</w:t>
      </w:r>
    </w:p>
    <w:p>
      <w:pPr>
        <w:spacing w:after="0" w:line="37"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committee will review and determine the compensation of all our executive officers. Our compensation committee consists of three directors, Mr. DeVeydt, Dr. Manchester and Ms. Sebelius, each of whom is a non-employee member of our board of directors as defined in Rule 16b-3 under the Exchange Act. Ms. Sebelius is the chair of the compensation committee. As a controlled company, we intend to rely upon the exemption from the requirement that we have a compensation committee composed entirely of independent directors. The principal duties and responsibilities of our compensation committee will include:</w:t>
      </w:r>
    </w:p>
    <w:p>
      <w:pPr>
        <w:spacing w:after="0" w:line="48" w:lineRule="exact"/>
        <w:rPr>
          <w:sz w:val="20"/>
          <w:szCs w:val="20"/>
          <w:color w:val="auto"/>
        </w:rPr>
      </w:pPr>
    </w:p>
    <w:p>
      <w:pPr>
        <w:ind w:left="660" w:right="100" w:hanging="206"/>
        <w:spacing w:after="0" w:line="25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setting the compensation of our other executive officers, based in part on recommendations of the chief executive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exercising administrative authority under our equity incentive plan and employee benefit plans;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policies and making recommendations to our board of directors regarding director compensation;</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that we may be required from time to time to include in SEC filings; and</w:t>
      </w:r>
    </w:p>
    <w:p>
      <w:pPr>
        <w:spacing w:after="0" w:line="37"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preparing a compensation committee report on executive compensation as may be required from time to time to be included in our annual proxy statements or annual reports on Form 10-K filed with the SEC.</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7"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Our nominating and corporate governance committee consists of two directors, Dr. Manchester and Ms. Sebelius. Dr. Manchester is the chair of the nominating and corporate governance committee. As a controlled company, we intend to rely upon the exemption from the requirement that we have a nominating and corporate governance committee composed entirely of independent directors. The nominating and corporate governance committee’s responsibilities will include:</w:t>
      </w:r>
    </w:p>
    <w:p>
      <w:pPr>
        <w:spacing w:after="0" w:line="49" w:lineRule="exact"/>
        <w:rPr>
          <w:sz w:val="20"/>
          <w:szCs w:val="20"/>
          <w:color w:val="auto"/>
        </w:rPr>
      </w:pPr>
    </w:p>
    <w:p>
      <w:pPr>
        <w:ind w:left="5580" w:right="4120" w:hanging="5126"/>
        <w:spacing w:after="0" w:line="561" w:lineRule="auto"/>
        <w:tabs>
          <w:tab w:leader="none" w:pos="66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assessing the need for new directors and identifying individuals qualified to become directors; 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assessing individual director performance, participation and qualifications;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monitoring the effectiveness of the board and the quality of the relationship between management and the board;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adopted a Code of Business Conduct and Ethics, or the Code of Conduct, applicable to all of our employees, executive officers and directors. The Code of Conduct is available on our website at www.myovant.com.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provide cash and equity-based compensation to our directors for the time and effort necessary to serve as a member of our board of directors. Each of Mr. DeVeydt and Ms. Sebelius is entitled to receive $40,000 in annual director fees for his or her service on our board of directors. In September 2016, we granted Messrs. Altmeyer and DeVeydt and Ms. Sebelius options to purchase 33,846, 42,308 and 33,846 of our common shares, respectively, with an exercise price of $5.11 per share. Each of these options vests over a period of three years. The option will vest as to one third of the shares on the first anniversary of the option grant date and the balance will vest in a series of eight equal quarterly installments thereafter. All common shares underlying these options will become fully vested upon a change in control, as defined in our 2016 Equity Incentive Plan.</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expect that our board of directors will adopt a director compensation policy for non-employee directors following the closing of this offering. Pursuant to this policy, we expect that any director who is also an employee of ours or our subsidiary will not receive any additional compensation for his or her service as a director.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2016 Director Compensation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fiscal year ended March 31, 2016, our sole director was Roivant Sciences Ltd., our majority shareholder.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fiscal year ended March 31, 2016, Marianne A. Romeo, our Head, Global Transactions &amp; Risk Management, was our only executive officer. Ms. Romeo is a co-employee of Roivant Sciences Ltd. and Axovant Sciences Ltd. Although we did not pay Ms. Romeo any compensation for her services as our executive officer during the fiscal year ended March 31, 2016, we have recorded $7,400 in allocated compensation expense from Roivant Sciences Ltd. related to Ms. Romeo’s services during such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March 31, 2016</w:t>
      </w:r>
    </w:p>
    <w:p>
      <w:pPr>
        <w:spacing w:after="0" w:line="8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As of March 31, 2016, Ms. Romeo did not hold any Myovant Sciences Ltd. equity awards. In September 2016, we granted Ms. Romeo an option to purchase 14,102 of our common shares, with an exercise price of $2.42 per share. This option will vest as to 25% of the shares on the first anniversary of the option grant date, and the balance will vest in a series of 12 equal quarterly installments thereafter.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Lynn Seely, M.D.</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May 2016, our wholly-owned subsidiary, Myovant Sciences, Inc., entered into an employment agreement with Dr. Seely, pursuant to which she will serve as its President and Chief Executive Officer. The agreement provides for an annual base salary of $300,000, which may be increased from time to time in the discretion of the board of directors of Myovant Sciences, Inc. Dr. Seely will be eligible to earn an annual discretionary cash bonus with a target of 50% of base salary based on the board of directors’ assessment of her individual performance as well as company performance.</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2016, pursuant to the terms of her employment agreement, we granted Dr. Seely a restricted stock award of 1,128,222 common shares. Twenty-five percent of the shares will vest and be released from our right of repurchase on the first anniversary of Dr. Seely’s commencement of employment, and the balance will vest in a series of 12 equal quarterly installments thereafter, in each case so long as Dr. Seely remains in continuous employment with Myovant Sciences, Inc. through the applicable vesting date. Dr. Seely is entitled to receive an equity award of 66,845 restricted stock units in Roivant Sciences Ltd., our majority shareholder. The restricted stock units will vest to the extent certain performance criteria are achieved and certain liquidity conditions are satisfied within eight years of the grant date. On the later of the first anniversary of Dr. Seely’s commencement of employment and the completion of our initial public offering, and subject to the approval by our board of directors, Dr. Seely will receive an additional restricted stock award of 564,111 common shares. These restricted shares will vest based on our stock price following an initial public offering, as follows: 1/3</w:t>
      </w:r>
      <w:r>
        <w:rPr>
          <w:rFonts w:ascii="Arial" w:cs="Arial" w:eastAsia="Arial" w:hAnsi="Arial"/>
          <w:sz w:val="10"/>
          <w:szCs w:val="10"/>
          <w:color w:val="auto"/>
        </w:rPr>
        <w:t>rd</w:t>
      </w:r>
      <w:r>
        <w:rPr>
          <w:rFonts w:ascii="Arial" w:cs="Arial" w:eastAsia="Arial" w:hAnsi="Arial"/>
          <w:sz w:val="16"/>
          <w:szCs w:val="16"/>
          <w:color w:val="auto"/>
        </w:rPr>
        <w:t xml:space="preserve"> of the shares will vest if the stock price exceeds two times the initial public offering price, an additional 1/3</w:t>
      </w:r>
      <w:r>
        <w:rPr>
          <w:rFonts w:ascii="Arial" w:cs="Arial" w:eastAsia="Arial" w:hAnsi="Arial"/>
          <w:sz w:val="10"/>
          <w:szCs w:val="10"/>
          <w:color w:val="auto"/>
        </w:rPr>
        <w:t>rd</w:t>
      </w:r>
      <w:r>
        <w:rPr>
          <w:rFonts w:ascii="Arial" w:cs="Arial" w:eastAsia="Arial" w:hAnsi="Arial"/>
          <w:sz w:val="16"/>
          <w:szCs w:val="16"/>
          <w:color w:val="auto"/>
        </w:rPr>
        <w:t xml:space="preserve"> of the shares will vest if our stock price is four times the initial public offering price, and the final 1/3</w:t>
      </w:r>
      <w:r>
        <w:rPr>
          <w:rFonts w:ascii="Arial" w:cs="Arial" w:eastAsia="Arial" w:hAnsi="Arial"/>
          <w:sz w:val="10"/>
          <w:szCs w:val="10"/>
          <w:color w:val="auto"/>
        </w:rPr>
        <w:t>rd</w:t>
      </w:r>
      <w:r>
        <w:rPr>
          <w:rFonts w:ascii="Arial" w:cs="Arial" w:eastAsia="Arial" w:hAnsi="Arial"/>
          <w:sz w:val="16"/>
          <w:szCs w:val="16"/>
          <w:color w:val="auto"/>
        </w:rPr>
        <w:t xml:space="preserve"> of the shares will vest if our stock price exceeds six times the initial public offering price, provided Dr. Seely remains employed on each vesting milestone. Finally, Dr. Seely will be eligible to receive additional discretionary annual equity incentive awards in amounts commensurate with her position as President and Chief Executive Officer, which will vest over a four-year vesting period. These grants will be based upon meeting performance metrics to be mutually agreed upon in writing within 60 days following her commencement of employment, and revised annually thereafter.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Dr. Seely will also participate in benefit plans and arrangements made available to similarly situated executives, will accrue four weeks of vacation per year and has entered into our standard form of non-disclosure and inventions assignment agreement.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If her employment is terminated by Myovant Sciences, Inc. without “cause” or by Dr. Seely for “good reason” (each as defined in the employment agreement), then, subject to the execution of an effective release, Dr. Seely will receive (a) a lump sum payment equal to the sum of her base salary and target bonus, (b) reimbursement of COBRA premiums for the first 12 months of COBRA coverage or a direct payment of equivalent value, if the COBRA reimbursement is not permitted pursuant to applicable law and (c) vesting of 50% of her then-unvested equity awards (100% if the termination occurs within 18 months following a change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control). If any amounts would be subject to excise tax under Section 280G of the Internal Revenue Code, the amounts will either be paid in full (and subject to the tax), or cut back so that no excise tax applies, whichever would put Dr. Seely in a better after-tax position.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Frank Karbe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2016, our wholly-owned subsidiary, Myovant Sciences, Inc., entered into an offer letter with Mr. Karbe, pursuant to which he will serve as its Interim Chief Financial Officer. The offer letter provides for an annual base salary of $300,000. Mr. Karbe is eligible to earn a one-time discretionary performance bonus of $150,000 if he is employed on the first anniversary of his start date. During the first six months of his employment, Mr. Karbe will be expected to devote 50% of his time to his duties. In September 2016, pursuant to the terms of his offer letter, we granted Mr. Karbe an option to purchase 225,644 of our common shares with an exercise price of $5.11 per share. The option will vest as to 28,205 shares on the six-month anniversary of his start date, 28,205 shares will vest on the first anniversary of his start date and the balance will vest in a series of 12 equal quarterly installments thereafter.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Equity Incentive Plan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June 2016, our board of directors and our shareholders adopted our 2016 Equity Incentive Plan, or the 2016 Plan. In September 2016, our board of directors amended the 2016 Plan and our shareholders ratified such amendments. The 2016 Plan, as amended, became effective upon the execution of the underwriting agreement related to this offering. The description of the 2016 Plan set forth below, reflects the 2016 Plan, as amended. Our 2016 Plan provides for the grant of incentive options within the meaning of Section 422 of the Internal Revenue Code, or the Code, to our employees and our parent and subsidiary corporations’ employees, and for the grant of nonstatutory options, restricted stock awards, restricted stock unit awards, stock appreciation rights, performance stock awards and other forms of stock compensation to our employees, including officers, consultants and directors. The 2016 Plan also provides for the grant of performance cash awards to our employees, consultants and directors.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maximum number of common shares that may be issued under the 2016 Plan is 4,512,889 shares. The number of common shares reserved for issuance under the 2016 Plan will automatically increase on April 1 of each year, for a period of ten years, from April 1, 2017 continuing through April 1, 2026, by 4% of the total number of our common shares outstanding on March 31 of the preceding fiscal year, or a lesser number of shares as may be determined by our board of directors or the compensation committee. The maximum number of common shares that may be issued pursuant to the exercise of incentive options under the 2016 Plan is 22,564,449.</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Shares issued under the 2016 Plan may be authorized but unissued or reacquired common shares. Shares subject to stock awards granted under the 2016 Plan that expire or terminate without being exercised in full, or that are paid out in cash rather than in shares, will not reduce the number of common shares available for issuance under the 2016 Plan. Additionally, common shares issued pursuant to stock awards under the 2016 Plan that we repurchase or that are forfeited, as well as shares reacquired by us as consideration for the exercise or purchase price of a stock award or to satisfy tax withholding obligations related to a stock award, will become available for future grant under the 2016 Plan.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board of directors, or a duly authorized committee thereof, will have the authority to administer the 2016 Plan. Our board of directors will delegate its authority to administer the 2016 Plan to our compensation committee under the terms of the compensation committee’s charter. Our board of directors may also delegate to one or more of our officers the authority to (1) designate employees other than officers to receive specified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awards and (2) determine the number of our common shares to be subject to such stock awards. Subject to the terms of the 2016 Plan, the administrator has the authority to determine the terms of awards, including recipients, the exercise price or strike price of stock awards, if any, the number of common shares subject to each stock award, the fair market value of a common share, the vesting schedule applicable to the awards, together with any vesting acceleration, the form of consideration, if any, payable upon exercise or settlement of the stock award and the terms and conditions of the award agreements for use under the 2016 Plan.</w:t>
      </w:r>
    </w:p>
    <w:p>
      <w:pPr>
        <w:spacing w:after="0" w:line="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administrator has the power to modify outstanding awards under our 2016 Plan. Subject to the terms of the 2016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adversely affected participant.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162(m) Limits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such time as necessary for compliance with Section 162(m) of the Code, no participant may be granted stock awards covering more than 1,128,222 common shares under the 2016 Plan during any fiscal year pursuant to options, stock appreciation rights and other stock awards whose value is determined by reference to an increase over an exercise price or strike price of at least 100% of the fair market value of our common shares on the date of grant. Additionally, no participant may be granted in a fiscal year a performance stock award covering more than 1,128,222 common shares or a performance cash award having a maximum value in excess of $1.0 million under the 2016 Plan. These limitations enable us to grant awards that will be exempt from the $1.0 million limitation on the income tax deductibility of compensation paid per covered executive officer imposed by Section 162(m) of the Code.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2016 Plan permits the grant of performance-based stock and cash awards that may qualify as performance-based compensation that is not subject to the $1.0 million limitation on the income tax deductibility of compensation paid per covered executive officer imposed by Section 162(m) of the Code. To enable us to grant performance-based awards that will qualify,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to Capital Structure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there is a specified type of change in our capital structure, such as a split, reverse split or recapitalization, appropriate adjustments will be made to (1) the class and maximum number of shares reserved for issuance under our 2016 plan, (2) the class and maximum number of shares by which the share reserve may increase automatically each year, (3) the class and maximum number of shares that may be issued upon the exercise of incentive stock options, (4) the class and maximum number of shares subject to stock awards that can be granted to any person in a calendar year (as established under the 2016 Plan pursuant to Section 162(m) of the Code), and (5) the class and number of shares and exercise price, strike price or purchase price, if applicable, of all outstanding stock awards.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2016 Plan provides that in the event of a specified corporate transaction, including without limitation a consolidation, merger, or similar transaction involving our company, the sale of all or substantially all of the assets of our company, the direct or indirect acquisition by a person or persons acting as a group of ownership of shares representing a majority of the then outstanding share capital of our company, the administrator will determine how to treat each outstanding stock award. The administrator may:</w:t>
      </w:r>
    </w:p>
    <w:p>
      <w:pPr>
        <w:spacing w:after="0" w:line="49"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 held by us;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cancel the stock award prior to the transaction in exchange for a cash payment, which may be reduced by the exercise price payable in connection with the stock award; or</w:t>
      </w:r>
    </w:p>
    <w:p>
      <w:pPr>
        <w:spacing w:after="0" w:line="37"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make a payment, in such form as determined by the administrator, equal to the excess, if any, of the value of the property that would have been received if such award was exercised immediately prior to the effective time of the corporate transaction over any exercise price payable.</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administrator may provide, in an individual award agreement or in any other written agreement between us and the participant, that the stock award will be subject to additional acceleration of vesting and exercisability in the event of a change in control. In the absence of such a provision, no such acceleration of the stock award will occur.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Amendment or Termination</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has the authority to amend, suspend, or terminate the 2016 Plan, provided that such action does not materially impair the existing rights of any participant without such participant’s written consent. No incentive options may be granted after the tenth anniversary of the earlier of (1) the date the 2016 Plan was adopted by our board, or (2) the date the 2016 Plan was approved by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our common shares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40"/>
          </w:cols>
          <w:pgMar w:left="240" w:top="459" w:right="3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is a description of transactions since our inception on February 2, 2016 to which we have been a participant in which the amount involved exceeded or will exceed $120,000, and in which any of our directors, executive officers or holders of more than 5% of our share capital, or any members of their immediate family, had or will have a direct or indirect material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Takeda Pharmaceuticals International AG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2016, we entered in a series of agreements with Takeda Pharmaceuticals International AG, or Takeda, and its affiliate as discussed below.</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April 2016, we entered into a license agreement with Takeda. Pursuant to this license agreement, Takeda granted to us an exclusive, royalty-bearing license under certain patents and other intellectual property controlled by Takeda to develop and commercialize the compound TAK-385, which we now refer to as relugolix, and the compound TAK-448, which we now refer to as RVT-602, and products containing these compounds for all human diseases and condition. See the section titled “Business—License Agreement with Takeda Pharmaceuticals International AG” for a further description of the terms of this license agreement.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Manufacture and Supply Agreement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2016, we and Takeda’s affiliate, Takeda Pharmaceutical Company Limited, or Takeda Limited, entered into an agreement for the manufacture and supply of relugolix. Under this agreement, Takeda Limited will supply us, and we will obtain from Takeda Limited, all of our requirements for relugolix drug substance and drug product to be used under our development plans for all indications. If we request, Takeda Limited will assist us with a technical transfer of the manufacturing process for relugolix to us or our designee and we will pay the expenses related to such transfer. We expect the costs associated with the manufacture and supply of relugolix under this agreement to be approximately $25.0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April 2016, we entered into a subscription agreement with Takeda, pursuant to which we issued 5,077,001 common shares to Takeda. Takeda did not pay any cash consideration for the common shares.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April 2016, we issued a warrant to purchase an indeterminate number of capital shares to Takeda. This warrant entitles Takeda, to purchase, at any time following our issuance of any class of capital shares, that number of capital shares of such class that would allow Takeda, together with its affiliates, to maintain a 12% ownership in us, as determined after such exercise. The exercise price of this warrant is $0.000017727 per share and contains an automatic net exercise provision. Upon the closing of this offering, pursuant to the terms of this warrant, we will automatically issue 1,977,269 common shares to Takeda, based upon the sale and issuance of 14,500,000 common shares to investors in this offering. If the underwriters exercise their option to purchase additional common shares in full, we would issue an additional 296,593 common shares to Takeda. This warrant will terminate upon the earlier of (1) the day after the one year anniversary of its issuance, or (2) upon a change in control in Myovant, unless such change in control results in a privately-held entity in which the holders of 40% or more of the equity securities, calculated on a fully-diluted basis, of the surviving entity are held by persons and entities who were affiliates of Myovant prior to such change in control.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Roivant Sciences Ltd.</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June 2016, we entered into an option agreement with Roivant Sciences Ltd. pursuant to which Roivant Sciences Ltd. granted to us an option to acquire the rights to products to which Roivant Sciences Ltd. or any non-public affiliate of Roivant Sciences Ltd. acquires the rights (other than a relugolix product or a competing product, as described in the section titled “Business—License Agreement with Takeda Pharmaceuticals International AG”) for uterine fibroids or endometriosis, or for which the primary target indication is hormone-sensitive prostate cancer. Our option is exercisable at any time during the period commencing upon the completion of this offering and ending two years following the date of first commercial sale of a relugolix product in a major market country. If we elect to exercise our option for a product, we will be required to reimburse Roivant Sciences Ltd. for 110% of any payments made by Roivant Sciences Ltd. or its affiliate for such product, and will receive an assignment of the agreement through which Roivant Sciences Ltd. or its affiliate acquired the rights to such product.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Sharing and Cooperation Agreement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2016, we entered into an information sharing and cooperation agreement, or the Cooperation Agreement, with Roivant Sciences Ltd. The Cooperation Agreement, among other things: (1) obligates us to deliver periodic financial statements and other financial information to Roivant Sciences Ltd. and to comply with other specified financial reporting requirements; and (2) requires us to supply certain material information to Roivant Sciences Ltd. to assist it in preparing any future SEC filings.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Subject to specified exceptions, the Cooperation Agreement will terminate upon the earlier of the mutual written consent of the parties or when Roivant Sciences Ltd. is no longer required by U.S. GAAP to consolidate our results of operations and financial position, account for its investment in us under the equity method of accounting or, by any rule of the SEC, include our separate financial statements in any filings it may make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Roivant Sciences, Inc.</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July 2016, we and our wholly-owned subsidiary, Myovant Sciences, Inc., entered into a services agreement with Roivant Sciences, Inc., a wholly-owned subsidiary of Roivant Sciences Ltd., or the Services Agreement effective as of April 29, 2016, pursuant to which Roivant Sciences, Inc. provides us with services in relation to the identification of potential product candidates, project management of clinical trials and other development, administrative and financial activities. Following the completion of this offering, we expect that our reliance on Roivant Sciences, Inc. will decrease over time as we, Myovant Sciences, Inc. and any other future subsidiary of ours continue to hire the necessary personnel to manage the development and potential commercialization of relugolix and RVT-602. The Services Agreement will continue in perpetuity until terminated by either party upon 60 days written notice.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the terms of the Services Agreement, we are obligated to pay or reimburse Roivant Sciences, Inc. for the costs it, or third parties acting on its behalf, incur(s) in providing services to us. In addition, we are obligated to pay to Roivant Sciences, Inc. a pre-determined mark-up, currently equal to 10%, on costs incurred by it in connection with any general and administrative and support services as well as research and development services.</w:t>
      </w:r>
    </w:p>
    <w:p>
      <w:pPr>
        <w:spacing w:after="0" w:line="9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Administrative and support services include, but are not limited to, payroll, general administrative, corporate and public relations, investor relations, financial marketing, activities in connection with raising capital, accounting and auditing, tax, health, safety, environmental and regulatory affairs, staffing and recruiting, benefits, information and technology services, purchasing and legal services. Research and development services include, but are not limited to, preparatory assistance in respect of the identification of product candidates,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performance and oversight of due diligence to evaluate potential product candidates, management and oversight of external consultants in connection with potential product candidate investment opportunities, participation in meetings with regulatory authorities related to product candidates, development of plans for potential clinical trials, selection of manufacturers of product candidates, management and oversight of clinical trials and product manufacturing, analysis of clinical trial data and management of regulatory filings and approval processes.</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Services Agreement, Roivant Sciences, Inc. has agreed to indemnify us and Myovant Sciences, Inc., and each our respective officers, employees and directors against all losses arising out of, due to or in connection with the provision of services (or the failure to provide services) under the Services Agreement, except to the extent such losses are the result of the gross negligence or willful misconduct of such indemnified parties. Such indemnification obligations will not exceed the payments made by us and by Myovant Sciences, Inc. under the Services Agreement for the specific service that allegedly caused or was related to the losses during the period in which such alleged losses were incurred.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April 2016, we entered into an investor rights agreement with Takeda and Roivant Sciences Ltd. After the closing of this offering, pursuant to the terms of this agreement, these shareholders will be entitled to rights with respect to the registration of their common shares under the Securities Act of 1933, as amended, including the right to demand that we file a registration statement or request that their shares be covered by a registration statement that we are otherwise filing. For a description of these registration rights, see the section titled “Description of Share Capital—Registration Rights.”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Lynn Seely, M.D., our Principal Executive Officer, and Frank Karbe, our Principal Financial and Accounting Officer, have entered into employment arrangements with our wholly-owned subsidiary, Myovant Sciences, Inc. For additional information regarding the employment arrangements, see the section titled “Executive Compensation—Employment Arrangements.” In addition, Marianne L. Romeo, our Head, Global Transactions &amp; Risk Management, is also a co-employee of Roivant Sciences Ltd., our majority shareholder, and Axovant Sciences Ltd., our affiliate.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and intend to continue to grant equity awards to members of our board of directors and our executive officers. For a description of these equity awards, see the sections titled “Management—Director Compensation” and “Executive Compensation—Employment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this offering, we will enter into indemnification agreements with each of our directors and executive officers. These indemnification agreements will provide the directors and executive officers with contractual rights to indemnification and expense advancement that are, in some cases, broader than the specific indemnification provisions contained under Bermuda law. See the section titled “Description of Share Capital—Indemnification of Directors and Officers” for additional information regarding indemnification under Bermuda law and our amended and restated bye-laws.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this offering, we have not had a formal policy regarding approval of transactions with related parties. We have adopted a related person transaction policy that sets forth our procedures for the identification, review, consideration and approval or ratification of related person transactions. The policy became effective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Roivant Sciences Ltd., and any of their respective immediate family members and any entity owned or controlled by such persons. Any transaction contemplated by the option agreement with Roivant Sciences Ltd., as described in the section titled “—Option Agreement” above, will also be subject to this policy.</w:t>
      </w:r>
    </w:p>
    <w:p>
      <w:pPr>
        <w:spacing w:after="0" w:line="9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spacing w:after="0" w:line="33"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SHAREHOLDERS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beneficial ownership of our common shares as of September 30, 2016 by:</w:t>
      </w:r>
    </w:p>
    <w:p>
      <w:pPr>
        <w:spacing w:after="0" w:line="77"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percentage ownership information before the offering is based upon 43,750,684 common shares outstanding as of September 30, 2016. The percentage ownership information after the offering assumes the (1) sale and issuance of 14,500,000 common shares in this offering and no exercise by the underwriters of their option to purchase additional common shares; and (2) the issuance of an additional 1,977,269 common shares to Takeda upon the closing of this offering pursuant to the automatic exercise of a warrant we issued to Takeda.</w:t>
      </w:r>
    </w:p>
    <w:p>
      <w:pPr>
        <w:spacing w:after="0" w:line="13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on or before November 29, 2016, which is 60 days after September 30, 2016.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otherwise noted below, the address for persons or entities listed in the table is c/o Myovant Sciences Ltd. Clarendon House, 2 Church Street, Hamilton HM11, Bermuda.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Owned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Owned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Before this Offering</w:t>
            </w: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7860" w:type="dxa"/>
            <w:vAlign w:val="bottom"/>
            <w:gridSpan w:val="3"/>
            <w:vMerge w:val="continue"/>
          </w:tcPr>
          <w:p>
            <w:pPr>
              <w:spacing w:after="0"/>
              <w:rPr>
                <w:sz w:val="12"/>
                <w:szCs w:val="12"/>
                <w:color w:val="auto"/>
              </w:rPr>
            </w:pPr>
          </w:p>
        </w:tc>
        <w:tc>
          <w:tcPr>
            <w:tcW w:w="116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6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Shareholders</w:t>
            </w:r>
          </w:p>
        </w:tc>
        <w:tc>
          <w:tcPr>
            <w:tcW w:w="6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Roivant Sciences Ltd.(1)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37,231,342</w:t>
            </w:r>
          </w:p>
        </w:tc>
        <w:tc>
          <w:tcPr>
            <w:tcW w:w="3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85.1%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37,231,342</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Takeda Pharmaceuticals International AG(2)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5,391,120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12.3</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7,368,389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Lynn Seely, M.D.(3)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1,128,222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Frank Karbe</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Marianne L. Romeo.</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Mark Altmeyer</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Wayne DeVeydt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Keith Manchester, M.D.(4)</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Vivek Ramaswamy(5)</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Kathleen Sebelius</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6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(8 persons)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1,128,222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37,231,342 common shares directly owned by Roivant Sciences Ltd. (“Roivant”). Under Roivant’s internal governance arrangements, dispositive decisions over these shares require the approval of the majority of Roivant’s board of directors, including (i) at least two “independent directors” (within the meaning of that term under Roivant’s bye-laws), or (ii) if there is only one such independent director, that sole independent director. Vivek Ramaswamy, Ilan Oren, Keith Manchester, M.D., Andrew Lo, Ph.D. and Patrick Machado comprise the board of directors of Roivant. The approval of Dr. Lo and Mr. Machado, as an independent directors of Roivant (and, to the extent that each one is the only independent director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Roivant then serving, the sole approval of Dr. Lo or Mr. Machado, as applicable), is needed to dispose of the common shares directly owned by Roivant and, accordingly, each of Dr. Lo and Mr. Machado may be deemed an indirect beneficial owner over the common shares directly owned by Roivant. Each of Dr. Lo and Mr. Machado disclaims beneficial ownership in the common shares except to the extent of his respective pecuniary interest therein. Additionally, any one of Roivant’s three major shareholders (the “Major Shareholders”), voting unanimously with the other Major Shareholders, has the right to override certain decisions of the board of directors of Roivant, including with respect to dispositions of common shares directly owned by Roivant (the “Override Right”). The three Major Shareholders of Roivant are Dexxon Holdings Ltd. (“Dexxon”), QVT Fund V LP (“QVT Fund”) and the Viking Funds. The Viking Funds are comprised of Viking Global Opportunities Illiquid Investments Sub-Master LP, Viking Global Equities LP, Viking Global Equities II LP, VGE III Portfolio Ltd. and Viking Long Fund Master Ltd. (the “Viking Funds”). With this Override Right, each of the Major Shareholders, along with certain affiliates of the Major Shareholders named below with voting and investment control over the Major Shareholders, may be deemed to share dispositive power and over the common shares directly owned by Roivant. The affiliates of the Major Shareholders that may be deemed indirect beneficial owners of the common shares indirectly beneficially owned by each of the Major Shareholders and directly owned by Roivant include the following: (i) Dan Oren, the sole director of Dexxon, insofar as voting and dispositive decisions of Dexxon are made by its sole director; (ii) QVT Financial LP, as the investment manager for QVT Fund, QVT Financial GP LLC, as the general partner of QVT Financial LP, and QVT Associates GP LLC, as the general partner of the QVT Fund; and (iii) Viking Global Performance LLC, as the general partner of Viking Global Equities LP and Viking Global Equities II LP and the investment manager for VGE III Portfolio Ltd., Viking Global Opportunities Portfolio GP LLC, as the general partner of Viking Global Opportunities Illiquid Investments Sub-Master LP, and Viking Long Fund GP LLC, as the investment manager for Viking Long Fund Master Ltd. (Viking Global Performance LLC, Viking Global Opportunities Portfolio GP LLC and Viking Long Fund GP LLC, collectively with the Viking Funds, the “Viking Shareholders”). Each of the Major Shareholders and each of their affiliates thereof named above disclaims beneficial ownership in the common shares owned by Roivant except to the extent of their pecuniary interest therein. The principal business address of Dr. Lo, Mr. Machado and Roivant is Clarendon House, 2 Church Street, Hamilton HM 11, Bermuda. The principal business address of Dexxon and Mr. Oren is 1 Dexcel Street, Or Akiva 30600000, Israel. The principal business address of QVT Financial, QVT Financial GP LLC and QVT Associates GP LLC is 1177 Avenue of the Americas, 9th Floor, New York, New York 10036. The registered office of the QVT Fund is located at 190 Elgin Avenue, George Town, Grand Cayman KY1-9005, Cayman Islands. The principal business address of each of the Viking Shareholders is 55 Railroad Avenue, Greenwich, Connecticut 06830.</w:t>
      </w:r>
    </w:p>
    <w:p>
      <w:pPr>
        <w:spacing w:after="0" w:line="4" w:lineRule="exact"/>
        <w:rPr>
          <w:sz w:val="20"/>
          <w:szCs w:val="20"/>
          <w:color w:val="auto"/>
        </w:rPr>
      </w:pPr>
    </w:p>
    <w:p>
      <w:pPr>
        <w:ind w:left="460" w:right="200" w:hanging="452"/>
        <w:spacing w:after="0" w:line="28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Shares beneficially owned after this offering includes 1,977,269 common shares issuable upon the closing of this offering pursuant to the automatic exercise of a warrant held by Takeda Pharmaceuticals International AG (“Takeda”), based upon the sale and issuance of 14,500,000 common shares to investors in this offering. See the section titled “Certain Relationships and Related Party Transactions—Relationship with Takeda Pharmaceuticals International AG—Warrant” for a description of the terms of this warrant. Takeda’s percentage ownership before and after this offering is equal to 12.0% on a fully-diluted basis, after giving effect to stock options for 1,175,311 common shares outstanding as of September 30, 2016. The principal business address of Takeda is Thurgauerstrasse 130, 8152 Glattpark—Opfikon Zurich, Switzerland.</w:t>
      </w:r>
    </w:p>
    <w:p>
      <w:pPr>
        <w:spacing w:after="0" w:line="4" w:lineRule="exact"/>
        <w:rPr>
          <w:rFonts w:ascii="Arial" w:cs="Arial" w:eastAsia="Arial" w:hAnsi="Arial"/>
          <w:sz w:val="16"/>
          <w:szCs w:val="16"/>
          <w:color w:val="auto"/>
        </w:rPr>
      </w:pPr>
    </w:p>
    <w:p>
      <w:pPr>
        <w:jc w:val="both"/>
        <w:ind w:left="460" w:right="80" w:hanging="452"/>
        <w:spacing w:after="0" w:line="28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1,128,222 common shares subject to a repurchase right held by us. Twenty-five percent of the shares will vest and be released from our right of repurchase on the first anniversary of Dr. Seely’s commencement of employment, and the balance will vest in a series of 12 quarterly installments, subject to Dr. Seely’s continuous employment with Myovant Sciences, Inc. through each applicable vesting date. The principal business address of Dr. Seely is c/o Myovant Sciences, Inc., 320 West 37</w:t>
      </w:r>
      <w:r>
        <w:rPr>
          <w:rFonts w:ascii="Arial" w:cs="Arial" w:eastAsia="Arial" w:hAnsi="Arial"/>
          <w:sz w:val="10"/>
          <w:szCs w:val="10"/>
          <w:color w:val="auto"/>
        </w:rPr>
        <w:t>th</w:t>
      </w:r>
      <w:r>
        <w:rPr>
          <w:rFonts w:ascii="Arial" w:cs="Arial" w:eastAsia="Arial" w:hAnsi="Arial"/>
          <w:sz w:val="16"/>
          <w:szCs w:val="16"/>
          <w:color w:val="auto"/>
        </w:rPr>
        <w:t xml:space="preserve"> Street, 5</w:t>
      </w:r>
      <w:r>
        <w:rPr>
          <w:rFonts w:ascii="Arial" w:cs="Arial" w:eastAsia="Arial" w:hAnsi="Arial"/>
          <w:sz w:val="10"/>
          <w:szCs w:val="10"/>
          <w:color w:val="auto"/>
        </w:rPr>
        <w:t>th</w:t>
      </w:r>
      <w:r>
        <w:rPr>
          <w:rFonts w:ascii="Arial" w:cs="Arial" w:eastAsia="Arial" w:hAnsi="Arial"/>
          <w:sz w:val="16"/>
          <w:szCs w:val="16"/>
          <w:color w:val="auto"/>
        </w:rPr>
        <w:t xml:space="preserve"> Floor, New York, NewYork 10018.</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Dr. Manchester is a director of Roivant Sciences Ltd., but does not have voting and dispositive power over the shares held of record by Roivant Sciences Ltd., as further described in footnote (1).</w:t>
      </w:r>
    </w:p>
    <w:p>
      <w:pPr>
        <w:ind w:left="460" w:right="120" w:hanging="452"/>
        <w:spacing w:after="0" w:line="261"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Ramaswamy is a director of Roivant Sciences Ltd., but does not have voting and dispositive power over the shares held of record by Roivant Sciences Ltd., as further described in footnote (1).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6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i w:val="1"/>
          <w:iCs w:val="1"/>
          <w:color w:val="auto"/>
        </w:rPr>
        <w:t>The following description of our share capital and provisions of our memorandum of association and amended and restated bye-laws are summaries. You should also refer to the memorandum of association and the amended and restated bye-laws, which are filed as exhibits to the registration statement of which this prospectus is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an exempted company incorporated under the laws of Bermuda. We are registered with the Registrar of Companies in Bermuda under registration number 51163. We were incorporated on February 2, 2016 under the name Roivant Endocrinology Ltd. We changed our name to Myovant Sciences Ltd. in May 2016. Our registered office is located at Clarendon House, 2 Church Street, Hamilton HM11, Bermuda, and we also have business operations at Park Place, 55 Par-La-Ville Road, 2</w:t>
      </w:r>
      <w:r>
        <w:rPr>
          <w:rFonts w:ascii="Arial" w:cs="Arial" w:eastAsia="Arial" w:hAnsi="Arial"/>
          <w:sz w:val="11"/>
          <w:szCs w:val="11"/>
          <w:color w:val="auto"/>
        </w:rPr>
        <w:t>nd</w:t>
      </w:r>
      <w:r>
        <w:rPr>
          <w:rFonts w:ascii="Arial" w:cs="Arial" w:eastAsia="Arial" w:hAnsi="Arial"/>
          <w:sz w:val="18"/>
          <w:szCs w:val="18"/>
          <w:color w:val="auto"/>
        </w:rPr>
        <w:t xml:space="preserve"> Floor, Hamilton HM11, Bermuda.</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objects of our business are unrestricted, and Myovant Sciences Ltd. has the capacity of a natural person. We can therefore undertake activities without restriction on our capacity.</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connection with this offering, our shareholders approved certain amendments to our bye-laws that will become effective upon the closing of this offering. The following description assumes that such amendments have become effective.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our incorporation, other than a subdivision of our authorized and issued share capital, there have been no material changes to our share capital, mergers, amalgamations or consolidations of us or any of our subsidiaries, no material changes in the mode of conducting our business, no material changes in the types of products produced or services rendered. There have been no bankruptcy, receivership or similar proceedings with respect to us or our subsidiaries.</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public takeover offers by third parties for our shares nor any public takeover offers by us for the shares of another company that have occurred during the last or current financial years.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Initial settlement of our common shares will take place on the closing date of this offering through The Depository Trust Company, or DTC, in accordance with its customary settlement procedures for equity securities registered through DTC’s book-entry transfer system. Each person beneficially owning common shares registered through DTC must rely on the procedures thereof and on institutions that have accounts therewith to exercise any rights of a holder of the common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Immediately following the closing of this offering, our authorized share capital will consist of 564,111,242 common shares, $0.000017727 par value per common share. As of June 30, 2016, we had 43,590,411 common shares issued and outstanding. All of our issued and outstanding common shares prior to the closing of this offering are fully paid. Pursuant to our amended and restated bye-laws, subject to the requirements of the NYSE, and to any resolution of the shareholders to the contrary, our board of directors is authorized to issue any of our authorized but unissued shares. There are no limitations on the right of non-Bermudians or non-residents of Bermuda to hold or vote our shares provided our common shares remain listed on an appointed stock exchange, which includes the NYSE.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Holders of common shares have no pre-emptive, redemption, conversion or sinking fund rights. Holders of common shares are entitled to one vote per share on all matters submitted to a vote of holders of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subject to the limitations described below. Unless a different majority is required by law or by our amended and restated bye-laws, resolutions to be approved by holders of common shares require approval by a simple majority of votes cast at a meeting at which a quorum is present.</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our amended and restated bye-laws, any U.S. person, other than any excluded person, as described below, whose controlled shares, as defined below, would constitute 9.5% or more of the total voting power of our issued share capital, would have their aggregate votes reduced by our board of directors to the extent necessary such that the controlled shares of such U.S. person will constitute less than 9.5% of the voting power of all issued and outstanding shares. These reductions will be made on an automatic basis pursuant to the procedures set forth in our amended and restated bye-laws, and are intended to reduce the risk of us becoming a CFC for U.S. federal income tax purposes as a result of more than 50% of the voting power or value of our issued and outstanding shares being owned, directly or indirectly by a United States person that possesses, directly or indirectly, 10% or more of the total voting power of our issued share capital. Under these provisions, certain shareholders may have their voting rights reduced to less than one vote per share, while other shareholders may have voting rights in excess of one vote per share. Any person, including any U.S. person, whose controlled shares constitute 9.5% or more of the total voting power of our issued share capital immediately prior to the closing of this offering, will be exempt from the foregoing voting restrictions. As a result, we expect that Roivant Sciences Ltd. and certain of its affiliates will be exempt from these restrictions. For purposes of this paragraph, “controlled shares” means all shares of Myovant Sciences Ltd. directly, indirectly or constructively owned by any person, as determined pursuant to Sections 957 and 958 of the Code and the Treasury Regulations promulgated thereunder. Further, our board of directors may determine that shares shall carry different voting rights as it reasonably determines, based on the advice of counsel, to be appropriate to avoid the existence of a U.S. person whose controlled shares constitute 9.5% or more of the total voting power of our issued share capital.</w:t>
      </w:r>
    </w:p>
    <w:p>
      <w:pPr>
        <w:spacing w:after="0" w:line="11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under our amended and restated bye-laws, shares shall not carry voting rights to the extent that our board of directors reasonably determines, based on the advice of counsel, that it is necessary to do so to avoid adverse tax, legal or regulatory consequences to us, any of our subsidiaries or any direct or indirect holder of our common shares or its affiliates, provided that our board of directors will use reasonable efforts to afford equal treatment to similarly situated shareholders to the extent possible under the circumstances. Other than as set forth in our amended and restated bye-laws, shareholder voting rights may only be altered with the consent of our shareholders as set forth under “—Variation of Rights” below.</w:t>
      </w:r>
    </w:p>
    <w:p>
      <w:pPr>
        <w:spacing w:after="0" w:line="10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preference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Pursuant to Bermuda law and our amended and restated bye-laws, our board of directors may, by resolution, establish one or more series of preference shares having such number of shares, designations, dividend rates, relative voting rights, conversion or exchange rights, redemption rights, liquidation rights, rights to elect or appoint directors and other relative participation, optional or other special rights, qualifications, limitations or restrictions as may be fixed by the board of directors without any further shareholder approval. Such rights, preferences, powers and limitations, as may be established, could have the effect of discouraging an attempt to obtain control of our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at any time we have more than one class of shares, the rights attaching to any class, unless otherwise provided for by the terms of issue of the relevant class, may be varied either: (1) with the consent in writing of the holders of 75% of the issued shares of that class; or (2) with the sanction of a resolution passed by a majority of the votes cast at a general meeting of the relevant class of shareholders at which a quorum consisting of at least two persons holding or representing one-third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8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or unless all applicable consents, authorizations and permissions of any governmental agency or body in Bermuda have been obtained or if it appears to our board of directors that certain tax, regulatory or legal consequences for us, any subsidiary of ours, holders of our common shares or their affiliates would result from the transfer. Subject to these restrictions, a holder of common shares may transfer the title to all or any of his common shares by completing a form of transfer in the form set out in our amended and restated bye-laws (or as near thereto as circumstances admit) or in such other common form as our board of directors may accept. The instrument of transfer must be signed by the transferor and transferee, although in the case of a fully paid share our board of directors may accept the instrument signed only by the transferor.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Bermuda law, a company is required to convene at least one general meeting of shareholders each calendar year, which we refer to as the annual general meeting. While Bermuda law permits the shareholders to waive the requirement to hold an annual general meeting by resolution (either for a specific year or a period of time or indefinitely), our amended and restated bye-laws provide that, notwithstanding, an annual general meeting shall be held in each year.</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Our amended and restated bye-laws provide that our principal executive officer or the chairman or any two directors or any director and the secretary or board of directors may convene an annual general meeting and our principal executive officer or the chairman or any two directors or any director and the secretary or our board of directors may convene a special general meeting. Under our amended and restated bye-laws, at least 14 days’ notice of an annual general meeting or ten days’ notice of a special general meeting must be given to each shareholder entitled to vote at such meeting. This notice requirement is subject to the ability to hold such meetings on shorter notice if such notice is agreed: (1) in the case of an annual general meeting by all of the shareholders entitled to attend and vote at such meeting; or (2) in the case of a special general meeting by a majority in number of the shareholders entitled to attend and vote at the meeting holding not less than 95% in nominal value of the shares entitled to vote at such meeting. Subject to the rules of the NYSE, the quorum required for a general meeting of shareholders is two or more persons present in person at the start of the meeting and representing in person or by proxy in excess of 50% of all issued and outstanding common shares.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Members of the general public have a right to inspect the public documents of a company available at the office of the Registrar of Companies in Bermuda. These documents include a company’s amended and restated memorandum of association, including its objects and powers, and certain alterations to the amended and restated memorandum of association. The shareholders have the additional right to inspect the bye-laws of the company, minutes of general meetings and the company’s audited financial statements, which must be presented in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amended and restated bye-laws provide that our board of directors shall consist of such number of directors as the board of directors may determine. Upon the closing of this offering, our board of directors will consist of six directors. Our board of directors will be divided into three classes that are, as nearly as possible, of equal size. Each class of directors will be elected for a three-year term of office, but the terms will be staggered so that the term of only one class of directors expires at each annual general meeting. The initial terms of the Class I, Class II and Class III directors will expire in 2017, 2018 and 2019, respectively. At each succeeding annual general meeting, successors to the class of directors whose term expires at the annual general meeting will be elected for a three-year term.</w:t>
      </w:r>
    </w:p>
    <w:p>
      <w:pPr>
        <w:spacing w:after="0" w:line="131"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ten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9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 director may be removed, only with cause, by the shareholders,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removal.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amended and restated bye-laws provide that our business is to be managed and conducted by our board of directors. Bermuda law permits individual and corporate directors and there is no requirement in our bye-laws or Bermuda law that directors hold any of our shares. There is also no requirement in our amended and restated bye-laws or Bermuda law that our directors must retire at a certain 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director who discloses a direct or indirect interest in any contract or arrangement with us as required by Bermuda law will not be entitled to vote in respect of any such contract or arrangement in which he or she is interested unless the chairman of the relevant meeting of the Board of Directors determines that such director is not disqualified from voting.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 resolution of our board of directors and by a resolution of our shareholders. Bye-laws relating to election of directors, classes of directors, term of office of directors, removal of directors, business combinations and changes to the bye-laws shall not be rescinded, altered or amended without a resolution of our board of directors including the affirmative vote of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directors then in office and a resolution of our shareholders including the affirmative vote of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all votes entitled to be cast on the resolution.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and Mergers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a simple majority of shareholders voting at a meeting to approve the amalgamation or merger agreement shall be sufficient, and the quorum for such meeting shall be two or more persons holding or representing more than 50% of the issued voting shares.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18" w:lineRule="exact"/>
        <w:rPr>
          <w:sz w:val="20"/>
          <w:szCs w:val="20"/>
          <w:color w:val="auto"/>
        </w:rPr>
      </w:pPr>
    </w:p>
    <w:p>
      <w:pPr>
        <w:ind w:left="660" w:right="620" w:hanging="206"/>
        <w:spacing w:after="0" w:line="325"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1"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our issued and voting shares outstanding at the time the transaction commenced; or</w:t>
      </w:r>
    </w:p>
    <w:p>
      <w:pPr>
        <w:spacing w:after="0" w:line="37"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after the date of the transaction that resulted in the shareholder becoming an interested shareholder, the business combination is approved by our board of directors and authorized at an annual or special meeting of shareholders by the affirmative vote of at least 66</w:t>
      </w:r>
      <w:r>
        <w:rPr>
          <w:rFonts w:ascii="Arial" w:cs="Arial" w:eastAsia="Arial" w:hAnsi="Arial"/>
          <w:sz w:val="11"/>
          <w:szCs w:val="11"/>
          <w:color w:val="auto"/>
        </w:rPr>
        <w:t>2</w:t>
      </w:r>
      <w:r>
        <w:rPr>
          <w:rFonts w:ascii="Arial" w:cs="Arial" w:eastAsia="Arial" w:hAnsi="Arial"/>
          <w:sz w:val="18"/>
          <w:szCs w:val="18"/>
          <w:color w:val="auto"/>
        </w:rPr>
        <w:t>/3% of our issued and outstanding voting shares that are not owned by the interested shareholder.</w:t>
      </w:r>
    </w:p>
    <w:p>
      <w:pPr>
        <w:spacing w:after="0" w:line="12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constitute a fraud against the minority shareholders or, for instance, where an act requires the approval of a greater percentage of the company’s shareholders than that which actually approved it.</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Bermudan dollar, and there are no restrictions on our ability to transfer funds (other than funds denominated in Bermudan dollars) in and out of Bermuda or to pay dividends to U.S. residents who are holders of our common shares.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common shares up to the amount of our authorized capital from time to time, and options,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warrants, depository receipts, rights, loan notes, debt instruments and our other securities to persons resident and non-resident for exchange control purposes with the need for prior approval of such issue or transfer.</w:t>
      </w:r>
    </w:p>
    <w:p>
      <w:pPr>
        <w:spacing w:after="0" w:line="11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Takeda Warrant</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April 2016, we issued a warrant to purchase an indeterminate number of our capital shares to Takeda. This warrant entitles Takeda to purchase, at any time, following our issuance of any class of capital shares, that number of capital shares of such class that would allow Takeda, together with its affiliates, to maintain 12% ownership of us, as determined after such exercise. See “Certain Relationships and Related Party Transactions—Relationship with Takeda Pharmaceuticals International AG—Warrant” for a further description of the terms of this warrant.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April 2016, we entered into an investor rights agreement with Takeda and Roivant Sciences Ltd. which provides these shareholders with certain registration rights. The registration of our common shares pursuant to the exercise of registration rights described below would enable these shareholders to sell these common shares without restriction under the Securities Act when the applicable registration statement is declared effective. We will pay the registration expenses, other than underwriting discounts, selling commissions and transfer taxes, of the shares registered pursuant to the piggyback and Form S-3 registrations described below.</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specific conditions, to limit the number of shares such holders may include. The piggyback and Form S-3 registration rights described below will expire upon the earlier of (1) five years after the effective date of the registration statement, of which this prospectus forms a part, (2) at such time as a shareholder can sell all of its shares under Rule 144 of the Securities Act during any three month period or (3) in the event of a change of control or liquidation of our company.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this offering, Takeda and Roivant Sciences Ltd., were entitled to, and have waived, their right to include their common shares in this offering. If we propose to register the offer and sale of any of our securities under the Securities Act either for our own account or for the account of other security holders, the holders of these common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registration statement relating to the sale of securities to employees pursuant to an equity incentive plan, relating to an SEC Rule 145 transaction or where the registration statement would not include substantially the same information required to offer such securities, these shareholders are entitled to notice of the registration and have the right, subject to limitations that the underwriters may impose on the number of common shares included in the registration, to include their common shares in the registration.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Takeda and Roivant Sciences Ltd. are entitled to certain Form S-3 registration rights. These shareholders may request that we register their common shares on Form S-3 if we are qualified to file a registration statement on Form S-3. Such request for registration on Form S-3 must cover securities the aggregate offering price of which, before payment of underwriting discounts, commissions and transfer taxes, is at least $5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register of holders of the common shares will be maintained by Codan Services Limited in Bermuda, and a branch register will be maintained in the United States by American Stock Transfer &amp; Trust Company, LLC, which will also serve as transfer agent. The transfer agent’s address is 6201 15</w:t>
      </w:r>
      <w:r>
        <w:rPr>
          <w:rFonts w:ascii="Arial" w:cs="Arial" w:eastAsia="Arial" w:hAnsi="Arial"/>
          <w:sz w:val="11"/>
          <w:szCs w:val="11"/>
          <w:color w:val="auto"/>
        </w:rPr>
        <w:t>th</w:t>
      </w:r>
      <w:r>
        <w:rPr>
          <w:rFonts w:ascii="Arial" w:cs="Arial" w:eastAsia="Arial" w:hAnsi="Arial"/>
          <w:sz w:val="18"/>
          <w:szCs w:val="18"/>
          <w:color w:val="auto"/>
        </w:rPr>
        <w:t xml:space="preserve"> Avenue, Brooklyn, New York 11219.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authorized for listing on the NYSE under the trading symbol “ MYOV.”</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240" w:top="459" w:right="6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this offering, no public market existed for our common shares. Future sales of our common shares in the public market after this offering, or the perception that these sales could occur, could adversely affect prevailing market prices for our common shares and could impair our future ability to raise equity capital.</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the number of common shares outstanding as of June 30, 2016, upon the closing of this offering and assuming no exercise by the underwriters of their option to purchase additional common shares, 60,227,953 common shares will be outstanding. All of the common shares sold in this offering will be freely tradable without restrictions or further registration under the Securities Act of 1933, as amended, or the Securities Act, except for the shares sold to entities affiliated with Pfizer Inc. or BB Biotech AG. The remaining 45,727,953 common shares held by existing shareholders, including the 160,273 common shares issued to Takeda in August and September 2016 and the 1,977,269 common shares to be issued to Takeda upon the closing of this offering pursuant to the automatic exercise of the warrant we issued to Takeda,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a result of contractual restrictions described below and the provisions of Rules 144 and 701, the common shares sold in this offering and the restricted securities will be available for sale in the public market as follows:</w:t>
      </w:r>
    </w:p>
    <w:p>
      <w:pPr>
        <w:spacing w:after="0" w:line="37" w:lineRule="exact"/>
        <w:rPr>
          <w:sz w:val="20"/>
          <w:szCs w:val="20"/>
          <w:color w:val="auto"/>
        </w:rPr>
      </w:pPr>
    </w:p>
    <w:p>
      <w:pPr>
        <w:ind w:left="66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4,000,000 common shares purchased by entities affiliated with Pfizer Inc. and BB Biotech AG will be eligible for sale in the public market upon the expiration of lock-up agreements 180 days after the date of this prospectus;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remaining 10,500,000 common shares sold in this offering will be eligible for immediate sale upon the closing of this offering; and</w:t>
      </w:r>
    </w:p>
    <w:p>
      <w:pPr>
        <w:spacing w:after="0" w:line="103" w:lineRule="exact"/>
        <w:rPr>
          <w:rFonts w:ascii="Arial" w:cs="Arial" w:eastAsia="Arial" w:hAnsi="Arial"/>
          <w:sz w:val="18"/>
          <w:szCs w:val="18"/>
          <w:color w:val="auto"/>
        </w:rPr>
      </w:pPr>
    </w:p>
    <w:p>
      <w:pPr>
        <w:ind w:left="660" w:right="74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45,727,953 common shares will be eligible for sale in the public market upon expiration of lock-up agreements 180 days after the date of this prospectus, subject in certain circumstances to the volume, manner of sale and other limitations under Rule 144 and Rule 701.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general, persons who have beneficially owned our common shares for at least six months, and any affiliate of the company who owns our common shares, are entitled to sell their securities without registration with the SEC under an exemption from registration provided by Rule 144 under the Securities Act.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Non-Affiliates</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common shares under Rule 144 if:</w:t>
      </w:r>
    </w:p>
    <w:p>
      <w:pPr>
        <w:spacing w:after="0" w:line="37" w:lineRule="exact"/>
        <w:rPr>
          <w:sz w:val="20"/>
          <w:szCs w:val="20"/>
          <w:color w:val="auto"/>
        </w:rPr>
      </w:pPr>
    </w:p>
    <w:p>
      <w:pPr>
        <w:ind w:left="660" w:hanging="206"/>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common shares have been held for at least six months, including the holding period of any prior owner other than one of our affiliates;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common shares for at least one year, including the holding period of any prior owner other than one of our affiliates, will be entitled to sell an unlimited number of common shares without regard to the length of time we have been subject to Exchange Act periodic reporting or whether we are current in our Exchange Act reporting.</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Affiliates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49" w:lineRule="exact"/>
        <w:rPr>
          <w:sz w:val="20"/>
          <w:szCs w:val="20"/>
          <w:color w:val="auto"/>
        </w:rPr>
      </w:pPr>
    </w:p>
    <w:p>
      <w:pPr>
        <w:ind w:left="660" w:right="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 of the number of our common shares then outstanding, which will equal approximately 602,280 shares immediately after the closing of this offering based on the number of shares outstanding as of June 30, 2016; or</w:t>
      </w:r>
    </w:p>
    <w:p>
      <w:pPr>
        <w:spacing w:after="0" w:line="37"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NYSE during the four calendar weeks preceding the filing of a notice on Form 144 with respect to the sale.</w:t>
      </w:r>
    </w:p>
    <w:p>
      <w:pPr>
        <w:spacing w:after="0" w:line="118"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Our employees, executive officers or directors who purchase shares under a written compensatory plan or contract will be entitled to rely on the resale provisions of Rule 701, but any holders of Rule 701 shares will be required to wait until 90 days after the date of this prospectus before selling their shares. However, all our Rule 701 shares are subject to lock-up agreements as described below and in the section titled “Underwriting” and will become eligible for sale upon the expiration of the restrictions set forth in those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soon as practicable after the closing of this offering, we intend to file with the SEC one or more registration statements on Form S-8 under the Securities Act to register the our common shares that are issuable pursuant to our 2016 Plan.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and the holders of all of our common shares outstanding on the date of this prospectus, including each of our executive officers, directors and option holders,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common shares, any options or warrants to purchase our common shares, or any securities convertible into, or exchangeable for or that represent the right to receive our common shares, without the prior written consent of Citigroup Global Markets Inc. for a period of 180 days from the date of this prospectus.</w:t>
      </w:r>
    </w:p>
    <w:p>
      <w:pPr>
        <w:spacing w:after="0" w:line="10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In addition, entities affiliated with Pfizer Inc. and BB Biotech AG have each agreed to purchase 2,000,000 of our common shares in this offering at the initial public offering price. The shares purchased by these entities will also be subject to a 180-day lock-up agreement with the underwriters on substantially similar terms as the lock-up agreements entered into with each of our executive officers, directors and option 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BERMUDA COMPANY CONSIDERATIONS</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corporate affairs are governed by our memorandum of association and bye-laws and by the corporate law of Bermuda. The provisions of the Companies Act, which applies to us, differ in certain material respects from laws generally applicable to U.S. companies incorporated in the State of Delaware and their stockholders. The following is a summary of significant differences between the Companies Act (including modifications adopted pursuant to our bye-laws) and Bermuda common law applicable to us and our shareholders and the provisions of the Delaware General Corporation Law applicable to U.S. companies organized under the laws of Delaware and their stockholders.</w:t>
      </w:r>
    </w:p>
    <w:p>
      <w:pPr>
        <w:sectPr>
          <w:pgSz w:w="11900" w:h="16838" w:orient="portrait"/>
          <w:cols w:equalWidth="0" w:num="1">
            <w:col w:w="11420"/>
          </w:cols>
          <w:pgMar w:left="240" w:top="459" w:right="239" w:bottom="1440" w:gutter="0" w:footer="0" w:header="0"/>
        </w:sectPr>
      </w:pPr>
    </w:p>
    <w:p>
      <w:pPr>
        <w:spacing w:after="0" w:line="98"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180" w:hanging="172"/>
        <w:spacing w:after="0" w:line="259" w:lineRule="auto"/>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be called by the board of directors and must be called upon the request of shareholders holding not less than 10% of the paid-up capital of the company carrying the right to vote at general meetings.</w:t>
      </w:r>
    </w:p>
    <w:p>
      <w:pPr>
        <w:spacing w:after="0" w:line="86" w:lineRule="exact"/>
        <w:rPr>
          <w:rFonts w:ascii="Arial" w:cs="Arial" w:eastAsia="Arial" w:hAnsi="Arial"/>
          <w:sz w:val="18"/>
          <w:szCs w:val="18"/>
          <w:color w:val="auto"/>
        </w:rPr>
      </w:pPr>
    </w:p>
    <w:p>
      <w:pPr>
        <w:ind w:left="200" w:hanging="192"/>
        <w:spacing w:after="0"/>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be held in or outside Bermuda.</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40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23" w:lineRule="exact"/>
        <w:rPr>
          <w:sz w:val="20"/>
          <w:szCs w:val="20"/>
          <w:color w:val="auto"/>
        </w:rPr>
      </w:pPr>
    </w:p>
    <w:p>
      <w:pPr>
        <w:ind w:left="182" w:right="60" w:hanging="182"/>
        <w:spacing w:after="0" w:line="259" w:lineRule="auto"/>
        <w:tabs>
          <w:tab w:leader="none" w:pos="2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be held at such time or place as designated in the certificate of incorporation or the bylaws, or if not so designated, as determined by the board of directors.</w:t>
      </w:r>
    </w:p>
    <w:p>
      <w:pPr>
        <w:spacing w:after="0" w:line="86" w:lineRule="exact"/>
        <w:rPr>
          <w:rFonts w:ascii="Arial" w:cs="Arial" w:eastAsia="Arial" w:hAnsi="Arial"/>
          <w:sz w:val="18"/>
          <w:szCs w:val="18"/>
          <w:color w:val="auto"/>
        </w:rPr>
      </w:pPr>
    </w:p>
    <w:p>
      <w:pPr>
        <w:ind w:left="202" w:hanging="202"/>
        <w:spacing w:after="0"/>
        <w:tabs>
          <w:tab w:leader="none" w:pos="2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be held in or outside of Delaware.</w:t>
      </w:r>
    </w:p>
    <w:p>
      <w:pPr>
        <w:spacing w:after="0" w:line="117" w:lineRule="exact"/>
        <w:rPr>
          <w:rFonts w:ascii="Arial" w:cs="Arial" w:eastAsia="Arial" w:hAnsi="Arial"/>
          <w:sz w:val="18"/>
          <w:szCs w:val="18"/>
          <w:color w:val="auto"/>
        </w:rPr>
      </w:pPr>
    </w:p>
    <w:p>
      <w:pPr>
        <w:ind w:left="202" w:hanging="202"/>
        <w:spacing w:after="0"/>
        <w:tabs>
          <w:tab w:leader="none" w:pos="2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Notice:</w:t>
      </w:r>
    </w:p>
    <w:p>
      <w:pPr>
        <w:spacing w:after="0" w:line="117" w:lineRule="exact"/>
        <w:rPr>
          <w:sz w:val="20"/>
          <w:szCs w:val="20"/>
          <w:color w:val="auto"/>
        </w:rPr>
      </w:pPr>
    </w:p>
    <w:p>
      <w:pPr>
        <w:sectPr>
          <w:pgSz w:w="11900" w:h="16838" w:orient="portrait"/>
          <w:cols w:equalWidth="0" w:num="2">
            <w:col w:w="5720" w:space="338"/>
            <w:col w:w="5362"/>
          </w:cols>
          <w:pgMar w:left="240" w:top="459" w:right="239" w:bottom="1440" w:gutter="0" w:footer="0" w:header="0"/>
          <w:type w:val="continuous"/>
        </w:sectPr>
      </w:pPr>
    </w:p>
    <w:p>
      <w:pPr>
        <w:jc w:val="both"/>
        <w:ind w:left="360" w:right="180" w:hanging="179"/>
        <w:spacing w:after="0" w:line="259"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Shareholders must be given at least five days’ advance notice of a general meeting, but the unintentional failure to give notice to any person does not invalidate the proceedings at a meeting.</w:t>
      </w:r>
    </w:p>
    <w:p>
      <w:pPr>
        <w:spacing w:after="0" w:line="86" w:lineRule="exact"/>
        <w:rPr>
          <w:rFonts w:ascii="Arial" w:cs="Arial" w:eastAsia="Arial" w:hAnsi="Arial"/>
          <w:sz w:val="18"/>
          <w:szCs w:val="18"/>
          <w:color w:val="auto"/>
        </w:rPr>
      </w:pPr>
    </w:p>
    <w:p>
      <w:pPr>
        <w:ind w:left="360" w:hanging="179"/>
        <w:spacing w:after="0" w:line="259"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Notice of general meetings must specify the place, the day and hour of the meeting and in the case of special general meetings, the general nature of the business to be considered.</w:t>
      </w:r>
    </w:p>
    <w:p>
      <w:pPr>
        <w:spacing w:after="0" w:line="194" w:lineRule="exact"/>
        <w:rPr>
          <w:rFonts w:ascii="Arial" w:cs="Arial" w:eastAsia="Arial" w:hAnsi="Arial"/>
          <w:sz w:val="18"/>
          <w:szCs w:val="18"/>
          <w:color w:val="auto"/>
        </w:rPr>
      </w:pPr>
    </w:p>
    <w:p>
      <w:pPr>
        <w:ind w:left="360" w:right="220" w:hanging="179"/>
        <w:spacing w:after="0" w:line="306" w:lineRule="auto"/>
        <w:tabs>
          <w:tab w:leader="none" w:pos="3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bye-laws provide that at least 14 days’ notice of an annual general meeting and 10 days’ notice of a special general meeting must be given to each shareholder entitled to vote at such meeting.</w:t>
      </w:r>
    </w:p>
    <w:p>
      <w:pPr>
        <w:spacing w:after="0" w:line="20" w:lineRule="exact"/>
        <w:rPr>
          <w:sz w:val="20"/>
          <w:szCs w:val="20"/>
          <w:color w:val="auto"/>
        </w:rPr>
      </w:pPr>
      <w:r>
        <w:rPr>
          <w:sz w:val="20"/>
          <w:szCs w:val="20"/>
          <w:color w:val="auto"/>
        </w:rPr>
        <w:br w:type="column"/>
      </w:r>
    </w:p>
    <w:p>
      <w:pPr>
        <w:ind w:left="169" w:right="180" w:hanging="169"/>
        <w:spacing w:after="0" w:line="268" w:lineRule="auto"/>
        <w:tabs>
          <w:tab w:leader="none" w:pos="1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Written notice shall be given not less than ten nor more than 60 days before the meeting.</w:t>
      </w:r>
    </w:p>
    <w:p>
      <w:pPr>
        <w:spacing w:after="0" w:line="294" w:lineRule="exact"/>
        <w:rPr>
          <w:rFonts w:ascii="Arial" w:cs="Arial" w:eastAsia="Arial" w:hAnsi="Arial"/>
          <w:sz w:val="18"/>
          <w:szCs w:val="18"/>
          <w:color w:val="auto"/>
        </w:rPr>
      </w:pPr>
    </w:p>
    <w:p>
      <w:pPr>
        <w:ind w:left="169" w:right="40" w:hanging="169"/>
        <w:spacing w:after="0" w:line="256" w:lineRule="auto"/>
        <w:tabs>
          <w:tab w:leader="none" w:pos="1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Whenever stockholders are required to take any action at a meeting, a written notice of the meeting shall be given which shall state the place, if any, date and hour of the meeting, and the means of remote communication, if any.</w:t>
      </w:r>
    </w:p>
    <w:p>
      <w:pPr>
        <w:spacing w:after="0" w:line="884" w:lineRule="exact"/>
        <w:rPr>
          <w:sz w:val="20"/>
          <w:szCs w:val="20"/>
          <w:color w:val="auto"/>
        </w:rPr>
      </w:pPr>
    </w:p>
    <w:p>
      <w:pPr>
        <w:sectPr>
          <w:pgSz w:w="11900" w:h="16838" w:orient="portrait"/>
          <w:cols w:equalWidth="0" w:num="2">
            <w:col w:w="5760" w:space="471"/>
            <w:col w:w="5189"/>
          </w:cols>
          <w:pgMar w:left="240" w:top="459"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Voting Rights</w:t>
      </w:r>
    </w:p>
    <w:p>
      <w:pPr>
        <w:spacing w:after="0" w:line="117" w:lineRule="exact"/>
        <w:rPr>
          <w:sz w:val="20"/>
          <w:szCs w:val="20"/>
          <w:color w:val="auto"/>
        </w:rPr>
      </w:pPr>
    </w:p>
    <w:p>
      <w:pPr>
        <w:ind w:left="180" w:right="220" w:hanging="172"/>
        <w:spacing w:after="0" w:line="332" w:lineRule="auto"/>
        <w:tabs>
          <w:tab w:leader="none" w:pos="2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Shareholders may act by written consent to elect directors. Shareholders may not act by written consent to remove a director or auditor.</w:t>
      </w:r>
    </w:p>
    <w:p>
      <w:pPr>
        <w:spacing w:after="0" w:line="31" w:lineRule="exact"/>
        <w:rPr>
          <w:rFonts w:ascii="Arial" w:cs="Arial" w:eastAsia="Arial" w:hAnsi="Arial"/>
          <w:sz w:val="16"/>
          <w:szCs w:val="16"/>
          <w:color w:val="auto"/>
        </w:rPr>
      </w:pPr>
    </w:p>
    <w:p>
      <w:pPr>
        <w:ind w:left="180" w:right="40" w:hanging="172"/>
        <w:spacing w:after="0" w:line="298" w:lineRule="auto"/>
        <w:tabs>
          <w:tab w:leader="none" w:pos="2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Generally, except as otherwise provided in the bye-laws, or the Companies Act, any action or resolution requiring approval of the shareholders may be passed by a simple majority of votes cast. Any person authorized to vote may authorize another person or persons to act for him or her by proxy.</w:t>
      </w:r>
    </w:p>
    <w:p>
      <w:pPr>
        <w:spacing w:after="0" w:line="58" w:lineRule="exact"/>
        <w:rPr>
          <w:rFonts w:ascii="Arial" w:cs="Arial" w:eastAsia="Arial" w:hAnsi="Arial"/>
          <w:sz w:val="16"/>
          <w:szCs w:val="16"/>
          <w:color w:val="auto"/>
        </w:rPr>
      </w:pPr>
    </w:p>
    <w:p>
      <w:pPr>
        <w:ind w:left="180" w:right="20" w:hanging="172"/>
        <w:spacing w:after="0" w:line="294" w:lineRule="auto"/>
        <w:tabs>
          <w:tab w:leader="none" w:pos="19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voting rights of shareholders are regulated by a company’s bye-laws and, in certain circumstances, by the Companies Act. The bye-laws may specify the number to constitute a quorum and if the bye-laws permit, a general meeting of the shareholders of a company may be held with only one individual present if the requirement for a quorum is satisfied.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182" w:right="20" w:hanging="182"/>
        <w:spacing w:after="0" w:line="332" w:lineRule="auto"/>
        <w:tabs>
          <w:tab w:leader="none" w:pos="199"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With limited exceptions, stockholders may act by written consent to elect directors unless prohibited by the certificate of incorporation.</w:t>
      </w:r>
    </w:p>
    <w:p>
      <w:pPr>
        <w:spacing w:after="0" w:line="31" w:lineRule="exact"/>
        <w:rPr>
          <w:rFonts w:ascii="Arial" w:cs="Arial" w:eastAsia="Arial" w:hAnsi="Arial"/>
          <w:sz w:val="16"/>
          <w:szCs w:val="16"/>
          <w:color w:val="auto"/>
        </w:rPr>
      </w:pPr>
    </w:p>
    <w:p>
      <w:pPr>
        <w:ind w:left="182" w:right="160" w:hanging="182"/>
        <w:spacing w:after="0" w:line="268" w:lineRule="auto"/>
        <w:tabs>
          <w:tab w:leader="none" w:pos="1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person authorized to vote may authorize another person or persons to act for him or her by proxy.</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182" w:hanging="182"/>
        <w:spacing w:after="0" w:line="255" w:lineRule="auto"/>
        <w:tabs>
          <w:tab w:leader="none" w:pos="2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stock corporations, the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p>
      <w:pPr>
        <w:sectPr>
          <w:pgSz w:w="11900" w:h="16838" w:orient="portrait"/>
          <w:cols w:equalWidth="0" w:num="2">
            <w:col w:w="5840" w:space="218"/>
            <w:col w:w="5362"/>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ind w:right="20"/>
        <w:spacing w:after="0" w:line="298" w:lineRule="auto"/>
        <w:rPr>
          <w:sz w:val="20"/>
          <w:szCs w:val="20"/>
          <w:color w:val="auto"/>
        </w:rPr>
      </w:pPr>
      <w:r>
        <w:rPr>
          <w:rFonts w:ascii="Arial" w:cs="Arial" w:eastAsia="Arial" w:hAnsi="Arial"/>
          <w:sz w:val="16"/>
          <w:szCs w:val="16"/>
          <w:color w:val="auto"/>
        </w:rPr>
        <w:t>Subject to the rules of the NYSE, our bye-laws provide that the quorum required for a general meeting of shareholders is two or more persons present in person at the start of the meeting and representing in person or by proxy in excess of 50% of all issued and outstanding common shares.</w:t>
      </w:r>
    </w:p>
    <w:p>
      <w:pPr>
        <w:spacing w:after="0" w:line="59" w:lineRule="exact"/>
        <w:rPr>
          <w:sz w:val="20"/>
          <w:szCs w:val="20"/>
          <w:color w:val="auto"/>
        </w:rPr>
      </w:pPr>
    </w:p>
    <w:p>
      <w:pPr>
        <w:ind w:left="180" w:right="40" w:hanging="172"/>
        <w:spacing w:after="0" w:line="285" w:lineRule="auto"/>
        <w:tabs>
          <w:tab w:leader="none" w:pos="113"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bye-laws provide that, in the event that any U.S. person holds, directly, indirectly or constructively, 9.5% or more of the total voting power of our issued share capital, excluding any U.S. person that holds, directly, indirectly or constructively, 9.5% or more of the total voting power of issued share capital immediately prior to the closing of this offering, the aggregate votes conferred by the common shares held by such person (or by any person through which such U.S. person indirectly or constructively holds shares) will be reduced by our board of directors to the extent necessary such that the common shares held, directly, indirectly or constructively, by such U.S. person will constitute less than 9.5% of the voting power of all issued and outstanding shares. Our bye-laws further provide that, our board of directors may determine that shares shall carry different or no voting rights as it reasonably determines, based on the advice of counsel, to be appropriate to (1) avoid the existence of any U.S. person who holds 9.5% or more of the total voting power of our issued share capital or (2) avoid adverse tax, legal or regulatory consequences to us, any subsidiary of ours or any holder of our common shares or its affiliates.</w:t>
      </w:r>
    </w:p>
    <w:p>
      <w:pPr>
        <w:spacing w:after="0" w:line="69" w:lineRule="exact"/>
        <w:rPr>
          <w:rFonts w:ascii="Arial" w:cs="Arial" w:eastAsia="Arial" w:hAnsi="Arial"/>
          <w:sz w:val="16"/>
          <w:szCs w:val="16"/>
          <w:color w:val="auto"/>
        </w:rPr>
      </w:pPr>
    </w:p>
    <w:p>
      <w:pPr>
        <w:ind w:left="180" w:right="120" w:hanging="172"/>
        <w:spacing w:after="0" w:line="332" w:lineRule="auto"/>
        <w:tabs>
          <w:tab w:leader="none" w:pos="1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bye-laws provide that when a quorum is once present in general meeting it is not broken by the subsequent withdrawal of any shareholders.</w:t>
      </w:r>
    </w:p>
    <w:p>
      <w:pPr>
        <w:spacing w:after="0" w:line="31" w:lineRule="exact"/>
        <w:rPr>
          <w:rFonts w:ascii="Arial" w:cs="Arial" w:eastAsia="Arial" w:hAnsi="Arial"/>
          <w:sz w:val="16"/>
          <w:szCs w:val="16"/>
          <w:color w:val="auto"/>
        </w:rPr>
      </w:pPr>
    </w:p>
    <w:p>
      <w:pPr>
        <w:ind w:left="180" w:right="320" w:hanging="172"/>
        <w:spacing w:after="0" w:line="268" w:lineRule="auto"/>
        <w:tabs>
          <w:tab w:leader="none" w:pos="1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bye-laws may provide for cumulative voting, although our bye-laws do not.</w:t>
      </w:r>
    </w:p>
    <w:p>
      <w:pPr>
        <w:spacing w:after="0" w:line="77" w:lineRule="exact"/>
        <w:rPr>
          <w:rFonts w:ascii="Arial" w:cs="Arial" w:eastAsia="Arial" w:hAnsi="Arial"/>
          <w:sz w:val="18"/>
          <w:szCs w:val="18"/>
          <w:color w:val="auto"/>
        </w:rPr>
      </w:pPr>
    </w:p>
    <w:p>
      <w:pPr>
        <w:ind w:left="180" w:right="20" w:hanging="172"/>
        <w:spacing w:after="0" w:line="289" w:lineRule="auto"/>
        <w:tabs>
          <w:tab w:leader="none" w:pos="1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2" w:hanging="182"/>
        <w:spacing w:after="0" w:line="268" w:lineRule="auto"/>
        <w:tabs>
          <w:tab w:leader="none" w:pos="1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a quorum is once present to organize a meeting, it is not broken by the subsequent withdrawal of any stockholders.</w:t>
      </w:r>
    </w:p>
    <w:p>
      <w:pPr>
        <w:spacing w:after="0" w:line="77" w:lineRule="exact"/>
        <w:rPr>
          <w:rFonts w:ascii="Arial" w:cs="Arial" w:eastAsia="Arial" w:hAnsi="Arial"/>
          <w:sz w:val="18"/>
          <w:szCs w:val="18"/>
          <w:color w:val="auto"/>
        </w:rPr>
      </w:pPr>
    </w:p>
    <w:p>
      <w:pPr>
        <w:ind w:left="182" w:hanging="182"/>
        <w:spacing w:after="0"/>
        <w:tabs>
          <w:tab w:leader="none" w:pos="182"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certificate of incorporation may provide for cumulative voting.</w:t>
      </w:r>
    </w:p>
    <w:p>
      <w:pPr>
        <w:spacing w:after="0" w:line="356" w:lineRule="exact"/>
        <w:rPr>
          <w:rFonts w:ascii="Arial" w:cs="Arial" w:eastAsia="Arial" w:hAnsi="Arial"/>
          <w:sz w:val="16"/>
          <w:szCs w:val="16"/>
          <w:color w:val="auto"/>
        </w:rPr>
      </w:pPr>
    </w:p>
    <w:p>
      <w:pPr>
        <w:ind w:left="182" w:right="120" w:hanging="182"/>
        <w:spacing w:after="0" w:line="256" w:lineRule="auto"/>
        <w:tabs>
          <w:tab w:leader="none" w:pos="1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two or more corporations existing under the laws of the state may merge into a single corporation pursuant to a board resolution and upon the majority vote by stockholders of each constituent corporation at an annual or special meeting.</w:t>
      </w:r>
    </w:p>
    <w:p>
      <w:pPr>
        <w:sectPr>
          <w:pgSz w:w="11900" w:h="16838" w:orient="portrait"/>
          <w:cols w:equalWidth="0" w:num="2">
            <w:col w:w="5840" w:space="218"/>
            <w:col w:w="5322"/>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4" w:lineRule="exact"/>
        <w:rPr>
          <w:sz w:val="20"/>
          <w:szCs w:val="20"/>
          <w:color w:val="auto"/>
        </w:rPr>
      </w:pPr>
    </w:p>
    <w:p>
      <w:pPr>
        <w:ind w:left="180" w:right="120" w:hanging="172"/>
        <w:spacing w:after="0" w:line="294" w:lineRule="auto"/>
        <w:tabs>
          <w:tab w:leader="none" w:pos="2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Every company may at any meeting of its board of directors sell, lease or exchange all or substantially all of its property and assets as its board of directors deems expedient and in the best interests of the company to do so when authorized by a resolution adopted by the holders of a majority of issued and outstanding shares of a company entitled to vote.</w:t>
      </w:r>
    </w:p>
    <w:p>
      <w:pPr>
        <w:spacing w:after="0" w:line="61" w:lineRule="exact"/>
        <w:rPr>
          <w:rFonts w:ascii="Arial" w:cs="Arial" w:eastAsia="Arial" w:hAnsi="Arial"/>
          <w:sz w:val="16"/>
          <w:szCs w:val="16"/>
          <w:color w:val="auto"/>
        </w:rPr>
      </w:pPr>
    </w:p>
    <w:p>
      <w:pPr>
        <w:ind w:left="180" w:hanging="172"/>
        <w:spacing w:after="0" w:line="291" w:lineRule="auto"/>
        <w:tabs>
          <w:tab w:leader="none" w:pos="19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company that is the wholly owned subsidiary of a holding company, or one or more companies which are wholly owned subsidiaries of the same holding company, may amalgamate or merge without the vote or consent of shareholders provided that the approval of the board of directors is obtained and that a director or officer of each such company signs a statutory solvency declaration in respect of the relevant company.</w:t>
      </w:r>
    </w:p>
    <w:p>
      <w:pPr>
        <w:spacing w:after="0" w:line="282" w:lineRule="exact"/>
        <w:rPr>
          <w:rFonts w:ascii="Arial" w:cs="Arial" w:eastAsia="Arial" w:hAnsi="Arial"/>
          <w:sz w:val="16"/>
          <w:szCs w:val="16"/>
          <w:color w:val="auto"/>
        </w:rPr>
      </w:pPr>
    </w:p>
    <w:p>
      <w:pPr>
        <w:ind w:left="180" w:right="80" w:hanging="172"/>
        <w:spacing w:after="0" w:line="259" w:lineRule="auto"/>
        <w:tabs>
          <w:tab w:leader="none" w:pos="1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mortgage, charge or pledge of a company’s property and assets may be authorized without the consent of shareholders subject to any restrictions under the bye-laws.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of directors must consist of at least one director.</w:t>
      </w:r>
    </w:p>
    <w:p>
      <w:pPr>
        <w:spacing w:after="0" w:line="76" w:lineRule="exact"/>
        <w:rPr>
          <w:rFonts w:ascii="Arial" w:cs="Arial" w:eastAsia="Arial" w:hAnsi="Arial"/>
          <w:sz w:val="18"/>
          <w:szCs w:val="18"/>
          <w:color w:val="auto"/>
        </w:rPr>
      </w:pPr>
    </w:p>
    <w:p>
      <w:pPr>
        <w:ind w:left="180" w:right="180" w:hanging="172"/>
        <w:spacing w:after="0" w:line="259" w:lineRule="auto"/>
        <w:tabs>
          <w:tab w:leader="none" w:pos="1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directors is fixed by the bye-laws, and any changes to such number must be approved by the board of directors and/or the shareholders in accordance with the company’s bye-laws.</w:t>
      </w:r>
    </w:p>
    <w:p>
      <w:pPr>
        <w:spacing w:after="0" w:line="315" w:lineRule="exact"/>
        <w:rPr>
          <w:rFonts w:ascii="Arial" w:cs="Arial" w:eastAsia="Arial" w:hAnsi="Arial"/>
          <w:sz w:val="18"/>
          <w:szCs w:val="18"/>
          <w:color w:val="auto"/>
        </w:rPr>
      </w:pPr>
    </w:p>
    <w:p>
      <w:pPr>
        <w:ind w:left="200" w:hanging="192"/>
        <w:spacing w:after="0"/>
        <w:tabs>
          <w:tab w:leader="none" w:pos="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Removal: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40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4" w:lineRule="exact"/>
        <w:rPr>
          <w:sz w:val="20"/>
          <w:szCs w:val="20"/>
          <w:color w:val="auto"/>
        </w:rPr>
      </w:pPr>
    </w:p>
    <w:p>
      <w:pPr>
        <w:ind w:left="182" w:right="300" w:hanging="182"/>
        <w:spacing w:after="0" w:line="294" w:lineRule="auto"/>
        <w:tabs>
          <w:tab w:leader="none" w:pos="2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a corporation entitled to vote.</w:t>
      </w:r>
    </w:p>
    <w:p>
      <w:pPr>
        <w:spacing w:after="0" w:line="61" w:lineRule="exact"/>
        <w:rPr>
          <w:rFonts w:ascii="Arial" w:cs="Arial" w:eastAsia="Arial" w:hAnsi="Arial"/>
          <w:sz w:val="16"/>
          <w:szCs w:val="16"/>
          <w:color w:val="auto"/>
        </w:rPr>
      </w:pPr>
    </w:p>
    <w:p>
      <w:pPr>
        <w:ind w:left="182" w:right="40" w:hanging="182"/>
        <w:spacing w:after="0" w:line="290" w:lineRule="auto"/>
        <w:tabs>
          <w:tab w:leader="none" w:pos="19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corporation owning at least 90% of the outstanding shares of each class of another corporation may merge the other corporation into itself and assume all of its obligations without the vote or consent of stockholders; however, in case the parent corporation is not the surviving corporation, the proposed merger shall be approved by a majority of the outstanding stock of the parent corporation entitled to vote at a duly called stockholder meeting.</w:t>
      </w:r>
    </w:p>
    <w:p>
      <w:pPr>
        <w:spacing w:after="0" w:line="64" w:lineRule="exact"/>
        <w:rPr>
          <w:rFonts w:ascii="Arial" w:cs="Arial" w:eastAsia="Arial" w:hAnsi="Arial"/>
          <w:sz w:val="16"/>
          <w:szCs w:val="16"/>
          <w:color w:val="auto"/>
        </w:rPr>
      </w:pPr>
    </w:p>
    <w:p>
      <w:pPr>
        <w:ind w:left="182" w:right="220" w:hanging="182"/>
        <w:spacing w:after="0" w:line="306" w:lineRule="auto"/>
        <w:tabs>
          <w:tab w:leader="none" w:pos="192"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mortgage or pledge of a corporation’s property and assets may be authorized without the vote or consent of stockholders, except to the extent that the certificate of incorporation otherwise provides.</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82" w:hanging="182"/>
        <w:spacing w:after="0"/>
        <w:tabs>
          <w:tab w:leader="none" w:pos="18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of directors must consist of at least one member.</w:t>
      </w:r>
    </w:p>
    <w:p>
      <w:pPr>
        <w:spacing w:after="0" w:line="76" w:lineRule="exact"/>
        <w:rPr>
          <w:rFonts w:ascii="Arial" w:cs="Arial" w:eastAsia="Arial" w:hAnsi="Arial"/>
          <w:sz w:val="18"/>
          <w:szCs w:val="18"/>
          <w:color w:val="auto"/>
        </w:rPr>
      </w:pPr>
    </w:p>
    <w:p>
      <w:pPr>
        <w:ind w:left="182" w:hanging="182"/>
        <w:spacing w:after="0" w:line="256" w:lineRule="auto"/>
        <w:tabs>
          <w:tab w:leader="none" w:pos="202" w:val="left"/>
        </w:tabs>
        <w:numPr>
          <w:ilvl w:val="0"/>
          <w:numId w:val="94"/>
        </w:numPr>
        <w:rPr>
          <w:rFonts w:ascii="Arial" w:cs="Arial" w:eastAsia="Arial" w:hAnsi="Arial"/>
          <w:sz w:val="18"/>
          <w:szCs w:val="18"/>
          <w:color w:val="auto"/>
        </w:rPr>
      </w:pPr>
      <w:r>
        <w:rPr>
          <w:rFonts w:ascii="Arial" w:cs="Arial" w:eastAsia="Arial" w:hAnsi="Arial"/>
          <w:sz w:val="18"/>
          <w:szCs w:val="18"/>
          <w:color w:val="auto"/>
        </w:rPr>
        <w:t>Number of board members shall be fixed by the bylaws, unless the certificate of incorporation fixes the number of directors, in which case a change in the number shall be made only by amendment of the certificate of incorporation.</w:t>
      </w:r>
    </w:p>
    <w:p>
      <w:pPr>
        <w:spacing w:after="0" w:line="102" w:lineRule="exact"/>
        <w:rPr>
          <w:rFonts w:ascii="Arial" w:cs="Arial" w:eastAsia="Arial" w:hAnsi="Arial"/>
          <w:sz w:val="18"/>
          <w:szCs w:val="18"/>
          <w:color w:val="auto"/>
        </w:rPr>
      </w:pPr>
    </w:p>
    <w:p>
      <w:pPr>
        <w:ind w:left="202" w:hanging="202"/>
        <w:spacing w:after="0"/>
        <w:tabs>
          <w:tab w:leader="none" w:pos="202"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Removal:</w:t>
      </w:r>
    </w:p>
    <w:p>
      <w:pPr>
        <w:spacing w:after="0" w:line="117" w:lineRule="exact"/>
        <w:rPr>
          <w:sz w:val="20"/>
          <w:szCs w:val="20"/>
          <w:color w:val="auto"/>
        </w:rPr>
      </w:pPr>
    </w:p>
    <w:p>
      <w:pPr>
        <w:sectPr>
          <w:pgSz w:w="11900" w:h="16838" w:orient="portrait"/>
          <w:cols w:equalWidth="0" w:num="2">
            <w:col w:w="5820" w:space="238"/>
            <w:col w:w="5342"/>
          </w:cols>
          <w:pgMar w:left="240" w:top="459" w:right="259" w:bottom="1440" w:gutter="0" w:footer="0" w:header="0"/>
        </w:sectPr>
      </w:pPr>
    </w:p>
    <w:p>
      <w:pPr>
        <w:ind w:left="360" w:right="80" w:hanging="179"/>
        <w:spacing w:after="0" w:line="256"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Under our bye-laws, any or all directors may be removed only with cause by the holders of a majority of the shares entitled to vote at a special meeting convened and held in accordance with the bye-laws for the purpose of such removal.</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br w:type="column"/>
      </w:r>
    </w:p>
    <w:p>
      <w:pPr>
        <w:ind w:left="169" w:right="80" w:hanging="169"/>
        <w:spacing w:after="0" w:line="306" w:lineRule="auto"/>
        <w:tabs>
          <w:tab w:leader="none" w:pos="17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or all of the directors may be removed, with or without cause, by the holders of a majority of the shares entitled to vote unless the certificate of incorporation otherwise provides.</w:t>
      </w:r>
    </w:p>
    <w:p>
      <w:pPr>
        <w:spacing w:after="0" w:line="12" w:lineRule="exact"/>
        <w:rPr>
          <w:rFonts w:ascii="Arial" w:cs="Arial" w:eastAsia="Arial" w:hAnsi="Arial"/>
          <w:sz w:val="16"/>
          <w:szCs w:val="16"/>
          <w:color w:val="auto"/>
        </w:rPr>
      </w:pPr>
    </w:p>
    <w:p>
      <w:pPr>
        <w:ind w:left="169" w:right="200" w:hanging="169"/>
        <w:spacing w:after="0" w:line="268"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 classified board, stockholders may effect removal of any or all directors only for cause.</w:t>
      </w:r>
    </w:p>
    <w:p>
      <w:pPr>
        <w:sectPr>
          <w:pgSz w:w="11900" w:h="16838" w:orient="portrait"/>
          <w:cols w:equalWidth="0" w:num="2">
            <w:col w:w="5840" w:space="391"/>
            <w:col w:w="5169"/>
          </w:cols>
          <w:pgMar w:left="240" w:top="459" w:right="25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Duties of Directors</w:t>
      </w:r>
    </w:p>
    <w:p>
      <w:pPr>
        <w:spacing w:after="0" w:line="117" w:lineRule="exact"/>
        <w:rPr>
          <w:sz w:val="20"/>
          <w:szCs w:val="20"/>
          <w:color w:val="auto"/>
        </w:rPr>
      </w:pPr>
    </w:p>
    <w:p>
      <w:pPr>
        <w:ind w:left="180" w:right="20" w:hanging="172"/>
        <w:spacing w:after="0" w:line="288" w:lineRule="auto"/>
        <w:tabs>
          <w:tab w:leader="none" w:pos="19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Companies Act authorizes the directors of a company, subject to its bye-laws, to exercise all powers of the company except those that are required by the Companies Act or the company’s bye-laws to be exercised by the shareholders of the company. Our bye-laws provide that our business is to be managed and conducted by our Board of Directors. At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spacing w:after="0" w:line="25" w:lineRule="exact"/>
        <w:rPr>
          <w:rFonts w:ascii="Arial" w:cs="Arial" w:eastAsia="Arial" w:hAnsi="Arial"/>
          <w:sz w:val="16"/>
          <w:szCs w:val="16"/>
          <w:color w:val="auto"/>
        </w:rPr>
      </w:pPr>
    </w:p>
    <w:p>
      <w:pPr>
        <w:ind w:left="380" w:hanging="199"/>
        <w:spacing w:after="0"/>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duty to act in good faith in the best interests of the company;</w:t>
      </w:r>
    </w:p>
    <w:p>
      <w:pPr>
        <w:spacing w:after="0" w:line="76" w:lineRule="exact"/>
        <w:rPr>
          <w:rFonts w:ascii="Arial" w:cs="Arial" w:eastAsia="Arial" w:hAnsi="Arial"/>
          <w:sz w:val="18"/>
          <w:szCs w:val="18"/>
          <w:color w:val="auto"/>
        </w:rPr>
      </w:pPr>
    </w:p>
    <w:p>
      <w:pPr>
        <w:ind w:left="360" w:right="280" w:hanging="179"/>
        <w:spacing w:after="0" w:line="268" w:lineRule="auto"/>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duty not to make a personal profit from opportunities that arise from the office of director;</w:t>
      </w:r>
    </w:p>
    <w:p>
      <w:pPr>
        <w:spacing w:after="0" w:line="37" w:lineRule="exact"/>
        <w:rPr>
          <w:rFonts w:ascii="Arial" w:cs="Arial" w:eastAsia="Arial" w:hAnsi="Arial"/>
          <w:sz w:val="18"/>
          <w:szCs w:val="18"/>
          <w:color w:val="auto"/>
        </w:rPr>
      </w:pPr>
    </w:p>
    <w:p>
      <w:pPr>
        <w:ind w:left="380" w:hanging="199"/>
        <w:spacing w:after="0"/>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duty to avoid conflicts of interest; and</w:t>
      </w:r>
    </w:p>
    <w:p>
      <w:pPr>
        <w:spacing w:after="0" w:line="76" w:lineRule="exact"/>
        <w:rPr>
          <w:rFonts w:ascii="Arial" w:cs="Arial" w:eastAsia="Arial" w:hAnsi="Arial"/>
          <w:sz w:val="18"/>
          <w:szCs w:val="18"/>
          <w:color w:val="auto"/>
        </w:rPr>
      </w:pPr>
    </w:p>
    <w:p>
      <w:pPr>
        <w:ind w:left="360" w:right="560" w:hanging="179"/>
        <w:spacing w:after="0" w:line="268" w:lineRule="auto"/>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duty to exercise powers for the purpose for which such powers were intended.</w:t>
      </w:r>
    </w:p>
    <w:p>
      <w:pPr>
        <w:spacing w:after="0" w:line="91" w:lineRule="exact"/>
        <w:rPr>
          <w:rFonts w:ascii="Arial" w:cs="Arial" w:eastAsia="Arial" w:hAnsi="Arial"/>
          <w:sz w:val="18"/>
          <w:szCs w:val="18"/>
          <w:color w:val="auto"/>
        </w:rPr>
      </w:pPr>
    </w:p>
    <w:p>
      <w:pPr>
        <w:ind w:left="180" w:right="380" w:hanging="172"/>
        <w:spacing w:after="0" w:line="268" w:lineRule="auto"/>
        <w:tabs>
          <w:tab w:leader="none" w:pos="1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Companies Act imposes a duty on directors and officers of a Bermuda company:</w:t>
      </w:r>
    </w:p>
    <w:p>
      <w:pPr>
        <w:spacing w:after="0" w:line="37" w:lineRule="exact"/>
        <w:rPr>
          <w:rFonts w:ascii="Arial" w:cs="Arial" w:eastAsia="Arial" w:hAnsi="Arial"/>
          <w:sz w:val="18"/>
          <w:szCs w:val="18"/>
          <w:color w:val="auto"/>
        </w:rPr>
      </w:pPr>
    </w:p>
    <w:p>
      <w:pPr>
        <w:ind w:left="360" w:right="500" w:hanging="179"/>
        <w:spacing w:after="0" w:line="268" w:lineRule="auto"/>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act honestly and in good faith with a view to the best interests of the company; and</w:t>
      </w:r>
    </w:p>
    <w:p>
      <w:pPr>
        <w:spacing w:after="0" w:line="37" w:lineRule="exact"/>
        <w:rPr>
          <w:rFonts w:ascii="Arial" w:cs="Arial" w:eastAsia="Arial" w:hAnsi="Arial"/>
          <w:sz w:val="18"/>
          <w:szCs w:val="18"/>
          <w:color w:val="auto"/>
        </w:rPr>
      </w:pPr>
    </w:p>
    <w:p>
      <w:pPr>
        <w:ind w:left="360" w:right="420" w:hanging="179"/>
        <w:spacing w:after="0" w:line="268" w:lineRule="auto"/>
        <w:tabs>
          <w:tab w:leader="none" w:pos="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exercise the care, diligence and skill that a reasonably prudent person would exercise in comparable circumstances.</w:t>
      </w:r>
    </w:p>
    <w:p>
      <w:pPr>
        <w:spacing w:after="0" w:line="50" w:lineRule="exact"/>
        <w:rPr>
          <w:rFonts w:ascii="Arial" w:cs="Arial" w:eastAsia="Arial" w:hAnsi="Arial"/>
          <w:sz w:val="18"/>
          <w:szCs w:val="18"/>
          <w:color w:val="auto"/>
        </w:rPr>
      </w:pPr>
    </w:p>
    <w:p>
      <w:pPr>
        <w:ind w:left="180" w:right="180" w:hanging="172"/>
        <w:spacing w:after="0" w:line="291" w:lineRule="auto"/>
        <w:tabs>
          <w:tab w:leader="none" w:pos="19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Companies Act also imposes various duties on directors and officers of a company with respect to certain matters of management and administration of the company. Under Bermuda law, directors and officers generally owe fiduciary duties to the company itself, not to the company’s individual shareholders, creditors or any class thereof. Our shareholders may not have a direct cause of action against our directors.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23" w:lineRule="exact"/>
        <w:rPr>
          <w:sz w:val="20"/>
          <w:szCs w:val="20"/>
          <w:color w:val="auto"/>
        </w:rPr>
      </w:pPr>
    </w:p>
    <w:p>
      <w:pPr>
        <w:ind w:left="182" w:hanging="182"/>
        <w:spacing w:after="0" w:line="285" w:lineRule="auto"/>
        <w:tabs>
          <w:tab w:leader="none" w:pos="202"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stockholders. The duty of care requires that a director act in good faith, with the care that an ordinarily prudent person would exercise under similar circumstances. Under this duty, a director must inform himself of, and disclose to stockholders,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stockholders take precedence over any interest possessed by a director, officer or controlling shareholder and not shared by the stockholders generally.</w:t>
      </w:r>
    </w:p>
    <w:p>
      <w:pPr>
        <w:spacing w:after="0" w:line="137" w:lineRule="exact"/>
        <w:rPr>
          <w:rFonts w:ascii="Arial" w:cs="Arial" w:eastAsia="Arial" w:hAnsi="Arial"/>
          <w:sz w:val="16"/>
          <w:szCs w:val="16"/>
          <w:color w:val="auto"/>
        </w:rPr>
      </w:pPr>
    </w:p>
    <w:p>
      <w:pPr>
        <w:ind w:left="182" w:hanging="182"/>
        <w:spacing w:after="0" w:line="312" w:lineRule="auto"/>
        <w:tabs>
          <w:tab w:leader="none" w:pos="202"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ectPr>
          <w:pgSz w:w="11900" w:h="16838" w:orient="portrait"/>
          <w:cols w:equalWidth="0" w:num="2">
            <w:col w:w="5840" w:space="218"/>
            <w:col w:w="5362"/>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40"/>
        <w:spacing w:after="0"/>
        <w:tabs>
          <w:tab w:leader="none" w:pos="8440" w:val="left"/>
        </w:tabs>
        <w:rPr>
          <w:sz w:val="20"/>
          <w:szCs w:val="20"/>
          <w:color w:val="auto"/>
        </w:rPr>
      </w:pPr>
      <w:r>
        <w:rPr>
          <w:rFonts w:ascii="Arial" w:cs="Arial" w:eastAsia="Arial" w:hAnsi="Arial"/>
          <w:sz w:val="14"/>
          <w:szCs w:val="14"/>
          <w:b w:val="1"/>
          <w:bCs w:val="1"/>
          <w:color w:val="auto"/>
        </w:rPr>
        <w:t>Bermuda</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Takeovers</w:t>
      </w:r>
    </w:p>
    <w:p>
      <w:pPr>
        <w:sectPr>
          <w:pgSz w:w="11900" w:h="16838" w:orient="portrait"/>
          <w:cols w:equalWidth="0" w:num="1">
            <w:col w:w="11380"/>
          </w:cols>
          <w:pgMar w:left="240" w:top="459" w:right="279" w:bottom="1440" w:gutter="0" w:footer="0" w:header="0"/>
        </w:sectPr>
      </w:pPr>
    </w:p>
    <w:p>
      <w:pPr>
        <w:spacing w:after="0" w:line="117" w:lineRule="exact"/>
        <w:rPr>
          <w:sz w:val="20"/>
          <w:szCs w:val="20"/>
          <w:color w:val="auto"/>
        </w:rPr>
      </w:pPr>
    </w:p>
    <w:p>
      <w:pPr>
        <w:ind w:left="180" w:right="20" w:hanging="172"/>
        <w:spacing w:after="0" w:line="325" w:lineRule="auto"/>
        <w:tabs>
          <w:tab w:leader="none" w:pos="1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 acquiring party is generally able to acquire compulsorily the common shares of minority holders of a company in the following ways:</w:t>
      </w:r>
    </w:p>
    <w:p>
      <w:pPr>
        <w:spacing w:after="0" w:line="1" w:lineRule="exact"/>
        <w:rPr>
          <w:rFonts w:ascii="Arial" w:cs="Arial" w:eastAsia="Arial" w:hAnsi="Arial"/>
          <w:sz w:val="16"/>
          <w:szCs w:val="16"/>
          <w:color w:val="auto"/>
        </w:rPr>
      </w:pPr>
    </w:p>
    <w:p>
      <w:pPr>
        <w:ind w:left="180" w:right="20" w:hanging="172"/>
        <w:spacing w:after="0" w:line="308" w:lineRule="auto"/>
        <w:tabs>
          <w:tab w:leader="none" w:pos="2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By a procedure under the Companies Act known as a “scheme of arrangement.” A scheme of arrangement could be effected by obtaining the agreement of the company and of holders of common shares, representing in the aggregate a majority in number and at least 75% in value of the common shareholders present and voting at a court ordered meeting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common shares could be compelled to sell their shares under the terms of the scheme of arrangement.</w:t>
      </w:r>
    </w:p>
    <w:p>
      <w:pPr>
        <w:spacing w:after="0" w:line="14" w:lineRule="exact"/>
        <w:rPr>
          <w:rFonts w:ascii="Arial" w:cs="Arial" w:eastAsia="Arial" w:hAnsi="Arial"/>
          <w:sz w:val="15"/>
          <w:szCs w:val="15"/>
          <w:color w:val="auto"/>
        </w:rPr>
      </w:pPr>
    </w:p>
    <w:p>
      <w:pPr>
        <w:ind w:left="180" w:right="20" w:hanging="172"/>
        <w:spacing w:after="0" w:line="286" w:lineRule="auto"/>
        <w:tabs>
          <w:tab w:leader="none" w:pos="2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32" w:lineRule="exact"/>
        <w:rPr>
          <w:rFonts w:ascii="Arial" w:cs="Arial" w:eastAsia="Arial" w:hAnsi="Arial"/>
          <w:sz w:val="16"/>
          <w:szCs w:val="16"/>
          <w:color w:val="auto"/>
        </w:rPr>
      </w:pPr>
    </w:p>
    <w:p>
      <w:pPr>
        <w:ind w:left="180" w:right="20" w:hanging="172"/>
        <w:spacing w:after="0" w:line="287" w:lineRule="auto"/>
        <w:tabs>
          <w:tab w:leader="none" w:pos="1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82" w:hanging="182"/>
        <w:spacing w:after="0" w:line="291" w:lineRule="auto"/>
        <w:tabs>
          <w:tab w:leader="none" w:pos="20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Delaware law provides that a parent corporation, by resolution of its board of directors and without any stockholder vote, may merge with any subsidiary of which it owns at least 90% of each class of its capital stock. Upon any such merger, and in the event the parent corporate does not own all of the stock of the subsidiary, dissenting stockholders of the subsidiary are entitled to certain appraisal rights.</w:t>
      </w:r>
    </w:p>
    <w:p>
      <w:pPr>
        <w:spacing w:after="0" w:line="25" w:lineRule="exact"/>
        <w:rPr>
          <w:rFonts w:ascii="Arial" w:cs="Arial" w:eastAsia="Arial" w:hAnsi="Arial"/>
          <w:sz w:val="16"/>
          <w:szCs w:val="16"/>
          <w:color w:val="auto"/>
        </w:rPr>
      </w:pPr>
    </w:p>
    <w:p>
      <w:pPr>
        <w:ind w:left="182" w:hanging="182"/>
        <w:spacing w:after="0" w:line="255" w:lineRule="auto"/>
        <w:tabs>
          <w:tab w:leader="none" w:pos="1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Delaware law also provides, subject to certain exceptions, that if a person acquires 15% of voting stock of a company, the person is an “interested stockholder” and may not engage in “business combinations” with the company for a period of three years from the time the person acquired 15% or more of voting stock.</w:t>
      </w:r>
    </w:p>
    <w:p>
      <w:pPr>
        <w:sectPr>
          <w:pgSz w:w="11900" w:h="16838" w:orient="portrait"/>
          <w:cols w:equalWidth="0" w:num="2">
            <w:col w:w="5840" w:space="218"/>
            <w:col w:w="5322"/>
          </w:cols>
          <w:pgMar w:left="240" w:top="459" w:right="27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40"/>
        <w:spacing w:after="0"/>
        <w:tabs>
          <w:tab w:leader="none" w:pos="8440" w:val="left"/>
        </w:tabs>
        <w:rPr>
          <w:sz w:val="20"/>
          <w:szCs w:val="20"/>
          <w:color w:val="auto"/>
        </w:rPr>
      </w:pPr>
      <w:r>
        <w:rPr>
          <w:rFonts w:ascii="Arial" w:cs="Arial" w:eastAsia="Arial" w:hAnsi="Arial"/>
          <w:sz w:val="14"/>
          <w:szCs w:val="14"/>
          <w:b w:val="1"/>
          <w:bCs w:val="1"/>
          <w:color w:val="auto"/>
        </w:rPr>
        <w:t>Bermuda</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180" w:right="60" w:hanging="172"/>
        <w:spacing w:after="0" w:line="306" w:lineRule="auto"/>
        <w:tabs>
          <w:tab w:leader="none" w:pos="19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dissenting shareholder (that did not vote in favor of the amalgamation or merger) of a Bermuda exempted company is entitled to be paid the fair value of his or her shares in an amalgamation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117" w:lineRule="exact"/>
        <w:rPr>
          <w:sz w:val="20"/>
          <w:szCs w:val="20"/>
          <w:color w:val="auto"/>
        </w:rPr>
      </w:pPr>
    </w:p>
    <w:p>
      <w:pPr>
        <w:ind w:left="180" w:right="40" w:hanging="172"/>
        <w:spacing w:after="0" w:line="286" w:lineRule="auto"/>
        <w:tabs>
          <w:tab w:leader="none" w:pos="2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Under Bermuda law, a solvent company may be wound up by way of a shareholders’ voluntary liquidation. Prior to the company entering liquidation, a majority of the directors shall each make a statutory declaration, which states that the directors have made a full enquiry into the affairs of the company and have formed the opinion that the company will be able to pay its debts within a period of 12 months of the commencement of the winding up and must file the statutory declaration with the Registrar of Companies in Bermuda. The general meeting will be convened primarily for the purposes of passing a resolution that the company be wound up voluntarily and appointing a liquidator. The winding up of the company is deemed to commence at the time of the passing of the resolution.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Derivative Actions</w:t>
      </w:r>
    </w:p>
    <w:p>
      <w:pPr>
        <w:spacing w:after="0" w:line="117" w:lineRule="exact"/>
        <w:rPr>
          <w:sz w:val="20"/>
          <w:szCs w:val="20"/>
          <w:color w:val="auto"/>
        </w:rPr>
      </w:pPr>
    </w:p>
    <w:p>
      <w:pPr>
        <w:ind w:left="180" w:right="80" w:hanging="172"/>
        <w:spacing w:after="0" w:line="287" w:lineRule="auto"/>
        <w:tabs>
          <w:tab w:leader="none" w:pos="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Class actions and derivative actions are generally not available to shareholders under Bermuda law.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82" w:right="80" w:hanging="182"/>
        <w:spacing w:after="0" w:line="259" w:lineRule="auto"/>
        <w:tabs>
          <w:tab w:leader="none" w:pos="1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 limited exceptions, appraisal rights shall be available for the shares of any class or series of stock of a corporation in a merger or consolidation.</w:t>
      </w:r>
    </w:p>
    <w:p>
      <w:pPr>
        <w:spacing w:after="0" w:line="45" w:lineRule="exact"/>
        <w:rPr>
          <w:rFonts w:ascii="Arial" w:cs="Arial" w:eastAsia="Arial" w:hAnsi="Arial"/>
          <w:sz w:val="18"/>
          <w:szCs w:val="18"/>
          <w:color w:val="auto"/>
        </w:rPr>
      </w:pPr>
    </w:p>
    <w:p>
      <w:pPr>
        <w:ind w:left="182" w:right="360" w:hanging="182"/>
        <w:spacing w:after="0" w:line="298" w:lineRule="auto"/>
        <w:tabs>
          <w:tab w:leader="none" w:pos="1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certificate of incorporation may provide that appraisal rights are available for shares as a result of an amendment to the certificate of incorporation, any merger or consolidation or the sale of all or substantially all of the assets.</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82" w:hanging="182"/>
        <w:spacing w:after="0" w:line="294" w:lineRule="auto"/>
        <w:tabs>
          <w:tab w:leader="none" w:pos="2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Delaware law, a corporation may voluntarily dissolve (1) if a majority of the board of directors adopts a resolution to that effect and the holders of a majority of the issued and outstanding shares entitled to vote thereon vote for such dissolution; or (2) if all stockholders entitled to vote thereon consent in writing to such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2" w:right="60" w:hanging="182"/>
        <w:spacing w:after="0" w:line="294" w:lineRule="auto"/>
        <w:tabs>
          <w:tab w:leader="none" w:pos="2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any derivative suit instituted by a stockholder of a corporation, it shall be averred in the complaint that the plaintiff was a stockholder of the corporation at the time of the transaction of which he complains or that such stockholder’s stock thereafter devolved upon such stockholder by operation of law.</w:t>
      </w:r>
    </w:p>
    <w:p>
      <w:pPr>
        <w:sectPr>
          <w:pgSz w:w="11900" w:h="16838" w:orient="portrait"/>
          <w:cols w:equalWidth="0" w:num="2">
            <w:col w:w="5840" w:space="218"/>
            <w:col w:w="5362"/>
          </w:cols>
          <w:pgMar w:left="240" w:top="459"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BERMUDA AND U.S. FEDERAL INCOME TAX CONSIDERATIONS</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is a discussion of the material Bermuda and U.S. federal income tax considerations that may be relevant to an investment decision by a potential investor with respect to our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present time, there is no Bermuda withholding tax, capital gains tax, capital transfer tax, estate duty or inheritance tax payable by our shareholders in respect of our common shares. We have obtained an assurance from the Minister of Finance of Bermuda under the Exempted Undertakings Tax Protection Act 1966 that, in the event that any legislation is enacted in Bermuda imposing any tax computed on any capital asset, gain or appreciation or any tax in the nature of estate duty or inheritance tax, such tax shall not, until March 31, 2035, be applicable to our common shares, except insofar as such tax applies to persons ordinarily resident in Bermuda.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8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following are the material U.S. federal income tax consequences to U.S. Holders (as defined below) of owning and disposing of common shares acquired in this offering. This discussion does not address any aspects of U.S. taxation other than U.S. federal income taxation, does not address any U.S. state, local or non-U.S. tax considerations, and does not purport to be a comprehensive description of all tax considerations that may be relevant to a particular person’s decision to acquire common shares. This discussion applies only to U.S. Holders that hold their common shares as capital assets for U.S. federal income tax purposes. In addition, it does not describe all of the tax consequences that may be relevant in light of a U.S. Holder’s particular circumstances including alternative minimum, gift, and estate tax consequences, and does not address the tax consequences applicable to U.S. Holders subject to special rules, such as:</w:t>
      </w:r>
    </w:p>
    <w:p>
      <w:pPr>
        <w:spacing w:after="0" w:line="10" w:lineRule="exact"/>
        <w:rPr>
          <w:sz w:val="20"/>
          <w:szCs w:val="20"/>
          <w:color w:val="auto"/>
        </w:rPr>
      </w:pPr>
    </w:p>
    <w:p>
      <w:pPr>
        <w:ind w:left="660" w:right="16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holder of common shares who actually or constructively owns or is deemed to own 10% or more of the total combined voting power of all classes of our shares entitled to vote;</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U.S. Holder who is also resident or ordinarily resident in Bermuda for Bermuda tax purposes or who is otherwise subject to Bermuda income tax or capital gains tax with respect to our common shares;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dealer or trader in securities who uses a mark-to-market method of tax accounting;</w:t>
      </w:r>
    </w:p>
    <w:p>
      <w:pPr>
        <w:spacing w:after="0" w:line="103"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person holding common shares as part of a hedging transaction, straddle, wash sale, conversion transaction or integrated transaction or a person entering into a constructive sale with respect to common shares;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U.S. Holder whose functional currency for U.S. federal income tax purposes is not the U.S. dollar;</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entity classified as a partnership or other pass-through entity for U.S. federal income tax purposes, including persons that will hold our common shares through such an entity;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tax-exempt entity, including an “individual retirement account” or “Roth IRA” or retirement plan;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person who acquired our common shares pursuant to the exercise of an employee stock option or otherwise as compensation;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person holding our common shares in connection with a trade or business conducted outside of the United States.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common shares.</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discussion is based on the Code, administrative pronouncements, judicial decisions and final, temporary and proposed U.S. Treasury regulations all as of the date hereof, any of which is subject to change, possibly with retroactive effect, and to differing interpretations, all of which could affect the tax considerations described below. There can be no assurances that the Internal Revenue Service, or IRS, will not take a different position concerning the tax consequences of the acquisition, ownership and disposition of the common shares or that such a position would not be sustained.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Holder” is a beneficial owner of common shares that for U.S. federal income tax purposes is:</w:t>
      </w:r>
    </w:p>
    <w:p>
      <w:pPr>
        <w:spacing w:after="0" w:line="77" w:lineRule="exact"/>
        <w:rPr>
          <w:sz w:val="20"/>
          <w:szCs w:val="20"/>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citizen or individual resident of the United States;</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political subdivision thereof; or</w:t>
      </w:r>
    </w:p>
    <w:p>
      <w:pPr>
        <w:spacing w:after="0" w:line="37" w:lineRule="exact"/>
        <w:rPr>
          <w:rFonts w:ascii="Arial" w:cs="Arial" w:eastAsia="Arial" w:hAnsi="Arial"/>
          <w:sz w:val="18"/>
          <w:szCs w:val="18"/>
          <w:color w:val="auto"/>
        </w:rPr>
      </w:pPr>
    </w:p>
    <w:p>
      <w:pPr>
        <w:ind w:left="660" w:right="40" w:hanging="206"/>
        <w:spacing w:after="0" w:line="325"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supervision over its administration and one or more U.S. persons have the ability to control all of the substantial decisions of such trust, or if such trust has a valid election in effect to be treated as a United States person; or</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common shares in their particular circumstances.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discussion below under “Passive Foreign Investment Company Rules,” this discussion assumes that we are a foreign corporation that is not, and will not become, a passive foreign investment company, or PFIC,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do not currently plan to pay dividends, any future distributions paid on common shares (including the amount of any foreign taxes withheld therefrom) will be treated as taxable dividends to a U.S. Holder to the extent of such U.S. Holder’s pro rata share of our current and/or accumulated earnings and profits (as determined under U.S. federal income tax principles). To the extent that a distribution paid to a U.S. Holder with respect to our common shares exceeds such U.S. Holder’s pro rata share of our current and accumulated earnings and profits, it will be treated as a non-taxable return of capital to the extent of the U.S. Holder’s basis in the common shares (determined on a share-by-share basis), will reduce (but not below zero) such basis, and thereafter generally will be treated as a capital gain. See “—Sale or Other Taxable Disposition of Common Shares” below. We may not maintain calculations of our earnings and profits under U.S. federal income tax principles. Accordingly, distributions, if any, generally will be reported to U.S. Holders as dividends.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Dividends received by a non-corporate U.S. Holder are eligible to be taxed at reduced rates, if we are a “qualified foreign corporation” and certain other applicable requirements, including holding period requirements, are met. The reduced rate applicable to dividends paid to non-corporate U.S. Holders is not available for dividends paid by a PFIC (described below) or in certain other situations, including if we are not a qualified foreign corporation.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common shares which are readily tradable on an established securities market in the United States. The common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shares are expected to be listed on the NYSE, which is an established securities market in the United States, and we expect the common shares to be readily tradable on the NYSE. However, there can be no assurance that the common shares will be considered readily tradable on an established securities market in the United States in later years. Subject to the discussion under “Passive Foreign Investment Company Rules,” below, such dividends will generally be “qualified dividend income” (which is taxed at a reduced rate) in the hands of non-corporate U.S. Holders, including individuals, provided that the holding period requirement and certain other requirements are met. Dividends received by a corporate U.S. Holder will not be eligible for the dividends-received deduction generally available to U.S. corporate shareholders under the Code for dividends received from certain U.S. and non-U.S. corporations.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foreign tax credit limitation purposes, distributions paid on the common shares that are treated as dividends will be treated as income from sources outside the United States and will generally constitute passive category income.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U.S. federal income tax purposes, gain or loss recognized on the sale or other taxable disposition of common shares generally will be capital gain or loss, and will be long-term capital gain or loss if the U.S. Holder held the shares for more than one year. The amount of the gain or loss will equal the difference between the U.S. Holder’s adjusted tax basis in the common shares disposed of and the amount realized on the disposition, in each case as determined in U.S. dollars. Long-term capital gains recognized by non-corporate U.S. Holders are taxable at reduced rates. There are limitations on the deductibility of capital losses. Any such capital gain or loss will generally be U.S.-source gain or loss for foreign tax credit limitation purposes.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consideration received for the common shares is paid in foreign currency, the amount realized will be the U.S. dollar value of the payment received translated at the spot rate of exchange on the date of disposition. A U.S. Holder may realize additional gain or loss upon the subsequent sale or disposition of such currency, which will generally be treated as U.S. source ordinary income or loss. If the common shares are treated as traded on an established securities market and the relevant holder is either a cash basis taxpayer or an accrual basis taxpayer who has made a special election (which must be applied consistently from year to year and cannot be changed without the consent of the IRS), such holder will determine the U.S. dollar value of the amount realized in a foreign currency by translating the amount received at the spot rate of exchange on the settlement date of the disposition. If the common shares are not treated as traded on an established securities market, or the relevant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disposition (as determined above) and the U.S. dollar value of the currency received at the spot rate on the settlement date. Any such foreign currency gain or loss will generally be U.S. source ordinary income or loss.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general, a corporation organized outside the United States will be a PFIC in any taxable year in which either (1) at least 75% of its gross income is “passive income” or (2) on average at least 50% of the value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may include cash, even if held as working capital or raised in a public offering, marketable securities and other assets that may produce passive income. The average value of a corporation’s assets for this purpose, in the case of a corporation whose shares are publicly traded for the taxable year, generally is the average of their fair market value at the end of each quarter. In determining whether a non-U.S. corporation is a PFIC, a proportionate share of the income and assets of each corporation in which it owns, directly or indirectly, at least a 25% interest (by value) is taken into account.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we were not a CFC prior to this offering in the current taxable year which will end on March 31, 2017. Based on this belief, we do not believe we were a PFIC in the taxable year that ended March 31, 2016 and based on the nature of our business, the projected composition of our income and the projected composition and estimated fair market values of our assets, we do not expect to be a PFIC in the taxable year commencing April 1, 2016. However, there can be no assurances in this regard, or that the IRS will agree with our conclusion, because we expect to hold following this offering a substantial amount of cash, and the calculation of the value of our assets may be based in part on the value of our shares, which may fluctuate considerably after this offering. In the event that we receive passive income in the future that would cause us to be a PFIC, we would expect to evaluate and may implement alternative structures and arrangements including structures and arrangements intended to mitigate the possibility that we will be classified as a PFIC. The failure or inability to implement such structures or arrangements may have an adverse impact on the determination of whether we are classified as a PFIC. In addition, there can be no assurances regarding our PFIC status in one or more subsequent years to the extent that our activities change, and our United States counsel expresses no opinion with respect to our PFIC status (including the impact of our potential status as a CFC) in the taxable year that ended March 31, 2016 or the taxable year commencing April 1, 2016, and also expresses no opinion with respect to our predictions regarding our PFIC status in the future.</w:t>
      </w:r>
    </w:p>
    <w:p>
      <w:pPr>
        <w:spacing w:after="0" w:line="11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we are a PFIC in any taxable year during which a U.S. Holder owns our shares, such U.S. Holder could be liable for additional taxes and interest charges upon (1) a distribution paid during a taxable year that is greater than 125% of the average annual distributions paid in the three preceding taxable years, or, if shorter, the U.S. Holder’s holding period for the shares, and (2) any gain recognized on a sale, exchange or other taxable disposition, including a pledge, of the shares, whether or not we continue to be a PFIC. In these circumstances, the tax will be determined by allocating such distribution or gain ratably over the U.S. Holder’s holding period for the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 If we are a PFIC for any year during which a U.S. Holder holds the shares, we must generally continue to be treated as a PFIC by that holder for all succeeding years during which the U.S. Holder holds the shares, unless we cease to meet the requirements for PFIC status and the U.S. Holder makes a “deemed sale” election with respect to the shares. If such election is made, the U.S. Holder will be deemed to have sold the shares it holds at their fair market value on the last day of the last taxable year in which we qualified as a PFIC, and any gain from such deemed sale would be subject to the consequences described above. After the deemed sale election, the U.S. Holder’s shares with respect to which the deemed sale election was made will not be treated as shares in a PFIC unless we subsequently become a PFIC.</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If we are a PFIC for any taxable year during which a U.S. Holder holds the shares and one of our non-United States subsidiaries is also a PFIC (i.e., a lower-tier PFIC), such U.S. Holder generally would be treated as owning a proportionate amount (by value) of the shares of the lower-tier PFIC and would be subject to the rules described above on certain distributions by the lower-tier PFIC and a disposition of shares of the lower-tier PFIC even though such U.S. Holder would not receive the proceeds of those distributions or dispositions. Each U.S. Holder is advised to consult its tax advisors regarding the application of the PFIC rules to any of our subsidiaries.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the shares held by such U.S. Holder. An electing U.S. Holder generally would take into account as ordinary income each year, the excess of the fair market value of the shares held at the end of the taxable year over the adjusted tax basis of such shares. The U.S. Holder would also take into account, as an ordinary loss each year, the excess of the adjusted tax basis of such shares over their fair market value at the end of the taxable year, but only to the extent of the excess of amounts previously included in income over ordinary losses deducted as a result of the mark-to-market election. The U.S. Holder’s tax basis in the shares would be adjusted to reflect any income or loss recognized as a result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mark-to-market election. Any gain from a sale, exchange or other taxable disposition of the shares in any taxable year in which we are a PFIC would be treated as ordinary income and any loss from such sale, exchange or other taxable disposition would be treated first as ordinary loss (to the extent of any net mark-to-market gains previously included in income) and thereafter as capital loss. If, after having been a PFIC for a taxable year, we cease to be classified as a PFIC, the U.S.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Holder would not be required to take into account any latent gain or loss in the manner described above and any gain or loss recognized on the sale or exchange of the shares would be classified as a capital gain or loss.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mark-to-market election is available to a U.S. Holder only for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The shares will be marketable stock as long as they remain listed on a qualified exchange, such as the NYSE, and are regularly traded. A mark-to-market election will not apply to the shares for any taxable year during which we are not a PFIC, but will remain in effect with respect to any subsequent taxable year in which we become a PFIC. Such election will not apply to any subsidiary that we own. Accordingly, a U.S. Holder may continue to be subject to the PFIC rules with respect to any lower-tier PFICs notwithstanding the U.S. Holder’s mark-to-market election for our shares.</w:t>
      </w:r>
    </w:p>
    <w:p>
      <w:pPr>
        <w:spacing w:after="0" w:line="10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or QEF, election. As we do not expect to provide U.S. Holders with the information required in order to permit a QEF election, prospective investors should assume that a QEF election will not be available.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Medicare Tax</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general, a United states person that is an individual or estate, or a trust that does not fall into a special class of trusts that is exempt from such tax, is subject to a 3.8% tax on the lesser of (1) the United States person’s “net investment income” for the relevant taxable year and (2) the excess of the United States person’s modified adjusted gross income for the taxable year over a certain threshold (which in the case of individuals will be between $125,000 and $250,000, depending on the individual’s circumstances). A U.S. holder’s net investment income will include its gross dividend income and its net gains from the disposition of our common shares, unless such dividends or net gains are derived in the ordinary course of the conduct of a trade or business (other than a trade or business that consists of certain passive or trading activities). If you are a United States person that is an individual, estate or trust, you are encouraged to consult your tax advisors regarding the applicability of the Medicare tax to your income and gains in respect of your investment in our common shares.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Holders may be required to file certain U.S. information reporting returns with the IRS with respect to an investment in our common shares, including, among others, IRS Form 8938 (Statement of Specified Foreign Financial Assets). Substantial penalties may be imposed upon a U.S. Holder that fails to comply with the required information reporting.</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(1) the U.S. Holder is a corporation or other exempt recipient or (2) in the case of backup withholding, the U.S. Holder provides a correct taxpayer identification number and certifies that it is not subject to backup withholding.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1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Each U.S. Holder is urged to consult with its tax advisor concerning the United States federal income tax consequences of purchasing, holding, and disposing of our common shares if we are or become classified as a PFIC, including the procedure for, and the possibility and consequences of, making a purging or mark-to-market election. We cannot provide any assurances that the IRS will agree with our annual determinations of our PFIC status.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Citigroup Global Markets Inc., Cowen and Company, LLC, Evercore Group L.L.C. and Barclays Capital Inc. are acting as book-running managers of this offering and as representatives of the underwriters named below. Subject to the terms and conditions stated in the underwriting agreement dated the date of this prospectus, each of the underwriters named below has severally agreed to purchase, and we have agreed to sell to that underwriter, the number of common shares indicated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600" w:type="dxa"/>
            <w:vAlign w:val="bottom"/>
            <w:vMerge w:val="restart"/>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9600" w:type="dxa"/>
            <w:vAlign w:val="bottom"/>
            <w:vMerge w:val="continue"/>
          </w:tcPr>
          <w:p>
            <w:pPr>
              <w:spacing w:after="0"/>
              <w:rPr>
                <w:sz w:val="14"/>
                <w:szCs w:val="14"/>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10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4,712,500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2,900,000</w:t>
            </w:r>
          </w:p>
        </w:tc>
        <w:tc>
          <w:tcPr>
            <w:tcW w:w="0" w:type="dxa"/>
            <w:vAlign w:val="bottom"/>
          </w:tcPr>
          <w:p>
            <w:pPr>
              <w:spacing w:after="0"/>
              <w:rPr>
                <w:sz w:val="1"/>
                <w:szCs w:val="1"/>
                <w:color w:val="auto"/>
              </w:rPr>
            </w:pP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2,537,500</w:t>
            </w:r>
          </w:p>
        </w:tc>
        <w:tc>
          <w:tcPr>
            <w:tcW w:w="0" w:type="dxa"/>
            <w:vAlign w:val="bottom"/>
          </w:tcPr>
          <w:p>
            <w:pPr>
              <w:spacing w:after="0"/>
              <w:rPr>
                <w:sz w:val="1"/>
                <w:szCs w:val="1"/>
                <w:color w:val="auto"/>
              </w:rPr>
            </w:pP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2,537,500</w:t>
            </w:r>
          </w:p>
        </w:tc>
        <w:tc>
          <w:tcPr>
            <w:tcW w:w="0" w:type="dxa"/>
            <w:vAlign w:val="bottom"/>
          </w:tcPr>
          <w:p>
            <w:pPr>
              <w:spacing w:after="0"/>
              <w:rPr>
                <w:sz w:val="1"/>
                <w:szCs w:val="1"/>
                <w:color w:val="auto"/>
              </w:rPr>
            </w:pP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1,087,500</w:t>
            </w:r>
          </w:p>
        </w:tc>
        <w:tc>
          <w:tcPr>
            <w:tcW w:w="0" w:type="dxa"/>
            <w:vAlign w:val="bottom"/>
          </w:tcPr>
          <w:p>
            <w:pPr>
              <w:spacing w:after="0"/>
              <w:rPr>
                <w:sz w:val="1"/>
                <w:szCs w:val="1"/>
                <w:color w:val="auto"/>
              </w:rPr>
            </w:pPr>
          </w:p>
        </w:tc>
      </w:tr>
      <w:tr>
        <w:trPr>
          <w:trHeight w:val="223"/>
        </w:trPr>
        <w:tc>
          <w:tcPr>
            <w:tcW w:w="1038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common shares included in this offering are subject to approval of legal matters by counsel and to other conditions. The underwriters are obligated to purchase all of the common shares (other than those covered by the underwriters’ option to purchase additional common shares described below) if they purchase any of the common shares.</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Common shares sold by the underwriters to the public will initially be offered at the initial public offering price set forth on the cover page of this prospectus. Any common shares sold by the underwriters to securities dealers may be sold at a discount from the initial public offering price not to exceed $0.63 per common share. If all the common shares are not sold at the initial offering price, the underwriters may change the initial offering price and the other selling terms. The representatives have advised us that the underwriters do not intend to make sales to discretionary accounts.</w:t>
      </w:r>
    </w:p>
    <w:p>
      <w:pPr>
        <w:spacing w:after="0" w:line="9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If the underwriters sell more common shares than the total number set forth in the table above, we have granted to the underwriters an option, exercisable for 30 days from the date of this prospectus, to purchase up to 2,175,000 additional common shares at the initial public offering price less the underwriting discount. The underwriters may exercise the option solely for the purpose of covering over-allotments, if any, in connection with this offering. To the extent the option is exercised, each underwriter must purchase a number of additional common shares approximately proportionate to that underwriter’s initial purchase commitment set forth in the table above. Any common shares issued or sold under the option will be issued and sold on the same terms and conditions as the other common shares that are the subject of this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our executive officers, our board of directors and all of our other shareholders and optionholders have agreed that, subject to specified limited exceptions, for a period of 180 days from the date of this prospectus, we and they will not, without the prior written consent of Citigroup Global Markets Inc., offer, sell, contract to sell, pledge or otherwise dispose of any common shares or any securities convertible into, or exercisable or exchangeable for, our common shares. Citigroup Global Markets Inc. in its sole discretion may release any of the securities subject to these lock-up agreements at any time, which, in the case of our management board members and supervisory board members, shall be with notice.</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our common shares. Consequently, the initial public offering price for our common shares will be determined by negotiations between us and the representatives. Among the factors considered in determining the initial public offering price will be our results of operations, our current financial condition, our future prospects, our markets, the economic conditions in and future prospects for the industry in which we compete, our management board, and currently prevailing general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conditions in the equity securities markets, including current market valuations of publicly traded companies considered comparable to our Company. We cannot assure you, however, that the price at which our common shares will sell in the public market after this offering will not be lower than the initial public offering price or that an active trading market in our common shares will develop and continue after this offering.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authorized for listing on the NYSE under the symbol “MYOV.”</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that we are to pay to the underwriters in connection with this offering. These amounts are shown assuming both no exercise and full exercise of the underwriters’ option to purchase additional common shares.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Paid by Myovant</w:t>
            </w:r>
          </w:p>
        </w:tc>
      </w:tr>
      <w:tr>
        <w:trPr>
          <w:trHeight w:val="142"/>
        </w:trPr>
        <w:tc>
          <w:tcPr>
            <w:tcW w:w="5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No Exercise</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100" w:type="dxa"/>
            <w:vAlign w:val="bottom"/>
          </w:tcPr>
          <w:p>
            <w:pPr>
              <w:spacing w:after="0"/>
              <w:rPr>
                <w:sz w:val="12"/>
                <w:szCs w:val="12"/>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common share</w:t>
            </w:r>
          </w:p>
        </w:tc>
        <w:tc>
          <w:tcPr>
            <w:tcW w:w="3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15,225,000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17,508,750</w:t>
            </w:r>
          </w:p>
        </w:tc>
      </w:tr>
    </w:tbl>
    <w:p>
      <w:pPr>
        <w:spacing w:after="0" w:line="134"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estimate that our portion of the total expenses of this offering, exclusive of underwriting discounts and commissions payable by us, will be approximately $2.5 million. We have also agreed to reimburse the underwriters for expenses in an amount of up to $25,000 relating to the clearance of this offering with the Financial Industry Regulatory Authority, Inc.</w:t>
      </w:r>
    </w:p>
    <w:p>
      <w:pPr>
        <w:spacing w:after="0" w:line="12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connection with this offering, the underwriters may purchase and sell our common shares in the open market. Purchases and sales in the open market may include short sales, purchases to cover short positions, which may include purchases pursuant to the underwriters’ option to purchase additional common shares, and other transactions that would stabilize, maintain or otherwise affect the price of our common shares.</w:t>
      </w:r>
    </w:p>
    <w:p>
      <w:pPr>
        <w:spacing w:after="0" w:line="12" w:lineRule="exact"/>
        <w:rPr>
          <w:sz w:val="20"/>
          <w:szCs w:val="20"/>
          <w:color w:val="auto"/>
        </w:rPr>
      </w:pPr>
    </w:p>
    <w:p>
      <w:pPr>
        <w:ind w:left="660" w:hanging="206"/>
        <w:spacing w:after="0"/>
        <w:tabs>
          <w:tab w:leader="none" w:pos="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Short sales involve secondary market sales by the underwriters of a greater number of common shares than they are required to purchase in this offering.</w:t>
      </w:r>
    </w:p>
    <w:p>
      <w:pPr>
        <w:spacing w:after="0" w:line="138" w:lineRule="exact"/>
        <w:rPr>
          <w:rFonts w:ascii="Arial" w:cs="Arial" w:eastAsia="Arial" w:hAnsi="Arial"/>
          <w:sz w:val="15"/>
          <w:szCs w:val="15"/>
          <w:color w:val="auto"/>
        </w:rPr>
      </w:pPr>
    </w:p>
    <w:p>
      <w:pPr>
        <w:ind w:left="900" w:right="500" w:hanging="217"/>
        <w:spacing w:after="0" w:line="268"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“Covered” short sales are sales of common shares in an amount up to the number of common shares represented by the underwriters’ option to purchase additional common shares.</w:t>
      </w:r>
    </w:p>
    <w:p>
      <w:pPr>
        <w:spacing w:after="0" w:line="37" w:lineRule="exact"/>
        <w:rPr>
          <w:rFonts w:ascii="Arial" w:cs="Arial" w:eastAsia="Arial" w:hAnsi="Arial"/>
          <w:sz w:val="18"/>
          <w:szCs w:val="18"/>
          <w:color w:val="auto"/>
        </w:rPr>
      </w:pPr>
    </w:p>
    <w:p>
      <w:pPr>
        <w:ind w:left="900" w:right="160" w:hanging="217"/>
        <w:spacing w:after="0" w:line="268"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“Naked” short sales are sales of common shares in an amount in excess of the number of common shares represented by the underwriters’ option to purchase additional common shares.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Covering transactions involve purchases of common shares either pursuant to the underwriters’ option to purchase additional common shares or in the open market in order to cover short positions.</w:t>
      </w:r>
    </w:p>
    <w:p>
      <w:pPr>
        <w:spacing w:after="0" w:line="37" w:lineRule="exact"/>
        <w:rPr>
          <w:rFonts w:ascii="Arial" w:cs="Arial" w:eastAsia="Arial" w:hAnsi="Arial"/>
          <w:sz w:val="18"/>
          <w:szCs w:val="18"/>
          <w:color w:val="auto"/>
        </w:rPr>
      </w:pPr>
    </w:p>
    <w:p>
      <w:pPr>
        <w:ind w:left="900" w:right="260" w:hanging="217"/>
        <w:spacing w:after="0" w:line="259"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common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w:t>
      </w:r>
    </w:p>
    <w:p>
      <w:pPr>
        <w:spacing w:after="0" w:line="45" w:lineRule="exact"/>
        <w:rPr>
          <w:rFonts w:ascii="Arial" w:cs="Arial" w:eastAsia="Arial" w:hAnsi="Arial"/>
          <w:sz w:val="18"/>
          <w:szCs w:val="18"/>
          <w:color w:val="auto"/>
        </w:rPr>
      </w:pPr>
    </w:p>
    <w:p>
      <w:pPr>
        <w:ind w:left="900" w:right="260" w:hanging="217"/>
        <w:spacing w:after="0" w:line="298"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common shares in the open market or must exercise their option to purchase additional common shares. In determining the source of common shares to close the covered short position, the underwriters will consider, among other things, the price of common shares available for purchase in the open market as compared to the price at which they may purchase common shares through the underwriters’ option to purchase additional common shares.</w:t>
      </w:r>
    </w:p>
    <w:p>
      <w:pPr>
        <w:spacing w:after="0" w:line="18"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common shares so long as the stabilizing bids do not exceed a specified maximum, to stabilize the price of the common shares.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our common shares. They may also cause the price of the common shares to be higher than the price that would otherwise exist in the open market in the absence of these transactions. The underwriters may conduct these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transactions on the NYSE, in the over-the-counter market or otherwise. The underwriters are not required to engage in any of these transactions, and they may discontinue them at any time.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the Exchange Act, and to contribute to payments the underwriters may be required to make because of any of those liabilities.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prospectus in electronic format may be made available on websites maintained by one or more of the underwriters or their respective affiliates. The representatives may agree with us to allocate a number of common shares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underwriters are full-service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Entities affiliated with Pfizer Inc. and BB Biotech AG have each agreed to purchase 2,000,000 of our common shares in this offering at the initial public offering price. The shares purchased by these entities in this offering will be subject to a 180-day lock-up agreement with the underwriters.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common shares which are the subject of the offering contemplated by this prospectus supplement and the accompanying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18"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any other circumstances falling within Article 3(2) of the Prospectus Directive,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United Kingdom</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Securities may be offered or sold in Bermuda only in compliance with the provisions of the Investment Business Act 2003 of Bermuda which regulates the sale of securities in Bermuda and it is not intended for any offer or sale of common shares to the public to take place in Bermuda.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77" w:lineRule="exact"/>
        <w:rPr>
          <w:sz w:val="20"/>
          <w:szCs w:val="20"/>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03" w:lineRule="exact"/>
        <w:rPr>
          <w:rFonts w:ascii="Arial" w:cs="Arial" w:eastAsia="Arial" w:hAnsi="Arial"/>
          <w:sz w:val="18"/>
          <w:szCs w:val="18"/>
          <w:color w:val="auto"/>
        </w:rPr>
      </w:pPr>
    </w:p>
    <w:p>
      <w:pPr>
        <w:ind w:left="660" w:right="60" w:hanging="206"/>
        <w:spacing w:after="0" w:line="325"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95"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common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common shares pursuant to an offer made under Section 275 of the SFA except:</w:t>
      </w:r>
    </w:p>
    <w:p>
      <w:pPr>
        <w:spacing w:after="0" w:line="48"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common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of the CO or the disclosure standards for listing prospectuses under art. 27 ff. of the SIX Listing Rules or the listing rules of any other stock exchange or regulated trading facility in Switzerland. Neither this prospectus nor any other offering or marketing relating to the common shares or this offering may be publicly distributed or otherwise made publicly available in Switzerland.</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common shares has been or will be filed with or approved by any Swiss regulatory authority.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common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shares must be made in accordance with an exemption from, or in a transaction not subject to, the prospectus requirements of applicable securities laws.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common shares and certain other matters of Bermuda law will be passed upon for us by Conyers Dill &amp; Pearman Limited, our special Bermuda counsel. Certain other legal matters will be passed upon for us by Cooley LLP, Palo Alto, California, and for the underwriters by Latham &amp; Watkins LLP, New York, New York.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March 31, 2016 and for the period from February 2, 2016 (date of inception) to March 31, 2016, as set forth in their report (which contains an explanatory paragraph describing conditions that raise substantial doubt about the Company’s ability to continue as a going concern as described in Note 1 to the financial statements). We’ve included our financial statements in the prospectus and elsewhere in the registration statement in reliance on Ernst &amp; Young LLP’s report, given on their authority as experts in accounting and auditing.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our company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can read our SEC filings, including the registration statement, over the internet at the SEC’s website at www.sec.gov.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www.myovant.com,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CONTROLS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permission of the Bermuda Monetary Authority is required, pursuant to the provisions of the Exchange Control Act 1972 and related regulations, for all issuances and transfers of shares (which includes our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our common shares) are listed on an “Appointed Stock Exchange” (which would include the NYSE).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 UNDER UNITED STATES FEDERAL SECURITIES LAWS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Bermuda exempted company. As a result, the rights of holders of our common shares will be governed by Bermuda law and our memorandum of association and bye-laws.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Our registered office address is Clarendon House, 2 Church Street, Hamilton HM11, Bermuda, and we also have business operations at Park Place, 55 Par-La-Ville Road, 2</w:t>
      </w:r>
      <w:r>
        <w:rPr>
          <w:rFonts w:ascii="Arial" w:cs="Arial" w:eastAsia="Arial" w:hAnsi="Arial"/>
          <w:sz w:val="11"/>
          <w:szCs w:val="11"/>
          <w:color w:val="auto"/>
        </w:rPr>
        <w:t>nd</w:t>
      </w:r>
      <w:r>
        <w:rPr>
          <w:rFonts w:ascii="Arial" w:cs="Arial" w:eastAsia="Arial" w:hAnsi="Arial"/>
          <w:sz w:val="18"/>
          <w:szCs w:val="18"/>
          <w:color w:val="auto"/>
        </w:rPr>
        <w:t xml:space="preserve"> Floor, Hamilton HM11, Bermuda.</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been advised by our special Bermuda counsel that there is no treaty in force between the United States and Bermuda providing for the reciprocal recognition and enforcement of judgments in civil and commercial matters. As a result, whether a U.S. judgment would be enforceable in Bermuda against us or our directors and officers depends on whether the U.S. court that entered the judgment is recognized by a Bermuda court as having jurisdiction over us or our directors and officers, as determined by reference to Bermuda conflict of law rules. The courts of Bermuda would recognize as a valid judgment, a final and conclusive judgment in personam obtained in a U.S. court pursuant to which a sum of money is payable (other than a sum of money payable in respect of multiple damages, taxes or other charges of a like nature or in respect of a fine or other penalty). The courts of Bermuda would give a judgment based on such a U.S. judgment as long as (1) the U.S. court had proper jurisdiction over the parties subject to the judgment; (2) the U.S. court did not contravene the rules of natural justice of Bermuda; (3) the U.S. judgment was not obtained by fraud; (4) the enforcement of the U.S. judgment would not be contrary to the public policy of Bermuda; (5) no new admissible evidence relevant to the action is submitted prior to the rendering of the judgment by the courts of Bermuda; (6) there is due compliance with the correct procedures under the laws of Bermuda; and (7) the U.S. judgment is not inconsistent with any judgment of the courts of Bermuda in respect of the same matter.</w:t>
      </w:r>
    </w:p>
    <w:p>
      <w:pPr>
        <w:spacing w:after="0" w:line="11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would not be available under Bermuda law or enforceable in a Bermuda court, as they are likely to be contrary to Bermuda public policy. Further, it may not be possible to pursue direct claims in Bermuda against us or our directors and officers for alleged violations of U.S. federal securities laws because these laws are unlikely to have extraterritorial effect and do not have force of law in Bermuda. A Bermuda court may, however, impose civil liability on us or our directors and officers if the facts alleged and proved in the Bermuda proceedings constitute or give rise to a cause of action under the applicable governing law, not being a foreign public, penal or revenue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4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400" w:type="dxa"/>
            <w:vAlign w:val="bottom"/>
          </w:tcPr>
          <w:p>
            <w:pPr>
              <w:spacing w:after="0"/>
              <w:rPr>
                <w:sz w:val="19"/>
                <w:szCs w:val="19"/>
                <w:color w:val="auto"/>
              </w:rPr>
            </w:pPr>
          </w:p>
        </w:tc>
      </w:tr>
      <w:tr>
        <w:trPr>
          <w:trHeight w:val="434"/>
        </w:trPr>
        <w:tc>
          <w:tcPr>
            <w:tcW w:w="10920" w:type="dxa"/>
            <w:vAlign w:val="bottom"/>
            <w:gridSpan w:val="11"/>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82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68">
              <w:r>
                <w:rPr>
                  <w:rFonts w:ascii="Arial" w:cs="Arial" w:eastAsia="Arial" w:hAnsi="Arial"/>
                  <w:sz w:val="18"/>
                  <w:szCs w:val="18"/>
                  <w:color w:val="0000EE"/>
                  <w:w w:val="87"/>
                </w:rPr>
                <w:t>Consolidated Balance Sheets at March 31, 2016, June 30, 2016 (unaudited) and June 30, 2016 pro forma (unaudited)</w:t>
              </w:r>
            </w:hyperlink>
          </w:p>
        </w:tc>
        <w:tc>
          <w:tcPr>
            <w:tcW w:w="2660" w:type="dxa"/>
            <w:vAlign w:val="bottom"/>
            <w:gridSpan w:val="4"/>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F-3</w:t>
            </w:r>
          </w:p>
        </w:tc>
      </w:tr>
      <w:tr>
        <w:trPr>
          <w:trHeight w:val="304"/>
        </w:trPr>
        <w:tc>
          <w:tcPr>
            <w:tcW w:w="10920" w:type="dxa"/>
            <w:vAlign w:val="bottom"/>
            <w:gridSpan w:val="11"/>
          </w:tcPr>
          <w:p>
            <w:pPr>
              <w:spacing w:after="0"/>
              <w:rPr>
                <w:rFonts w:ascii="Arial" w:cs="Arial" w:eastAsia="Arial" w:hAnsi="Arial"/>
                <w:sz w:val="18"/>
                <w:szCs w:val="18"/>
                <w:color w:val="0000EE"/>
                <w:w w:val="89"/>
              </w:rPr>
            </w:pPr>
            <w:hyperlink w:anchor="page169">
              <w:r>
                <w:rPr>
                  <w:rFonts w:ascii="Arial" w:cs="Arial" w:eastAsia="Arial" w:hAnsi="Arial"/>
                  <w:sz w:val="18"/>
                  <w:szCs w:val="18"/>
                  <w:color w:val="0000EE"/>
                  <w:w w:val="89"/>
                </w:rPr>
                <w:t>Consolidated Statements of Operations and Comprehensive Loss for the Period from February 2, 2016 (Date of Inception) to March 31, 2016 and for the</w:t>
              </w:r>
            </w:hyperlink>
          </w:p>
        </w:tc>
        <w:tc>
          <w:tcPr>
            <w:tcW w:w="40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Three Months Ended June 30, 2016 (unaudited)</w:t>
              </w:r>
            </w:hyperlink>
          </w:p>
        </w:tc>
        <w:tc>
          <w:tcPr>
            <w:tcW w:w="180" w:type="dxa"/>
            <w:vAlign w:val="bottom"/>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920" w:type="dxa"/>
            <w:vAlign w:val="bottom"/>
            <w:gridSpan w:val="11"/>
          </w:tcPr>
          <w:p>
            <w:pPr>
              <w:spacing w:after="0"/>
              <w:rPr>
                <w:rFonts w:ascii="Arial" w:cs="Arial" w:eastAsia="Arial" w:hAnsi="Arial"/>
                <w:sz w:val="18"/>
                <w:szCs w:val="18"/>
                <w:color w:val="0000EE"/>
                <w:w w:val="90"/>
              </w:rPr>
            </w:pPr>
            <w:hyperlink w:anchor="page170">
              <w:r>
                <w:rPr>
                  <w:rFonts w:ascii="Arial" w:cs="Arial" w:eastAsia="Arial" w:hAnsi="Arial"/>
                  <w:sz w:val="18"/>
                  <w:szCs w:val="18"/>
                  <w:color w:val="0000EE"/>
                  <w:w w:val="90"/>
                </w:rPr>
                <w:t>Consolidated Statements of Shareholders’ Deficit for the Period from February 2, 2016 (Date of Inception) to March 31, 2016 and for the Three Months</w:t>
              </w:r>
            </w:hyperlink>
          </w:p>
        </w:tc>
        <w:tc>
          <w:tcPr>
            <w:tcW w:w="40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70">
              <w:r>
                <w:rPr>
                  <w:rFonts w:ascii="Arial" w:cs="Arial" w:eastAsia="Arial" w:hAnsi="Arial"/>
                  <w:sz w:val="18"/>
                  <w:szCs w:val="18"/>
                  <w:color w:val="0000EE"/>
                  <w:w w:val="86"/>
                </w:rPr>
                <w:t>Ended June 30, 2016 (unaudited)</w:t>
              </w:r>
            </w:hyperlink>
          </w:p>
        </w:tc>
        <w:tc>
          <w:tcPr>
            <w:tcW w:w="8140" w:type="dxa"/>
            <w:vAlign w:val="bottom"/>
            <w:tcBorders>
              <w:top w:val="single" w:sz="8" w:color="0000EE"/>
            </w:tcBorders>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F-5</w:t>
            </w:r>
          </w:p>
        </w:tc>
      </w:tr>
      <w:tr>
        <w:trPr>
          <w:trHeight w:val="304"/>
        </w:trPr>
        <w:tc>
          <w:tcPr>
            <w:tcW w:w="105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71">
              <w:r>
                <w:rPr>
                  <w:rFonts w:ascii="Arial" w:cs="Arial" w:eastAsia="Arial" w:hAnsi="Arial"/>
                  <w:sz w:val="18"/>
                  <w:szCs w:val="18"/>
                  <w:color w:val="0000EE"/>
                  <w:w w:val="88"/>
                </w:rPr>
                <w:t>Consolidated Statements of Cash Flows for the Period from February 2, 2016 (Date of Inception) to March 31, 2016 and for the Three Months Ended</w:t>
              </w:r>
            </w:hyperlink>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84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171">
              <w:r>
                <w:rPr>
                  <w:rFonts w:ascii="Arial" w:cs="Arial" w:eastAsia="Arial" w:hAnsi="Arial"/>
                  <w:sz w:val="18"/>
                  <w:szCs w:val="18"/>
                  <w:color w:val="0000EE"/>
                  <w:w w:val="86"/>
                </w:rPr>
                <w:t>June 30, 2016 (unaudited)</w:t>
              </w:r>
            </w:hyperlink>
          </w:p>
        </w:tc>
        <w:tc>
          <w:tcPr>
            <w:tcW w:w="8860" w:type="dxa"/>
            <w:vAlign w:val="bottom"/>
            <w:gridSpan w:val="9"/>
          </w:tcPr>
          <w:p>
            <w:pPr>
              <w:spacing w:after="0"/>
              <w:rPr>
                <w:sz w:val="17"/>
                <w:szCs w:val="17"/>
                <w:color w:val="auto"/>
              </w:rPr>
            </w:pPr>
          </w:p>
        </w:tc>
        <w:tc>
          <w:tcPr>
            <w:tcW w:w="400" w:type="dxa"/>
            <w:vAlign w:val="bottom"/>
          </w:tcPr>
          <w:p>
            <w:pPr>
              <w:ind w:left="160"/>
              <w:spacing w:after="0" w:line="196" w:lineRule="exact"/>
              <w:rPr>
                <w:sz w:val="20"/>
                <w:szCs w:val="20"/>
                <w:color w:val="auto"/>
              </w:rPr>
            </w:pPr>
            <w:r>
              <w:rPr>
                <w:rFonts w:ascii="Arial" w:cs="Arial" w:eastAsia="Arial" w:hAnsi="Arial"/>
                <w:sz w:val="18"/>
                <w:szCs w:val="18"/>
                <w:color w:val="auto"/>
                <w:w w:val="81"/>
              </w:rPr>
              <w:t>F-6</w:t>
            </w:r>
          </w:p>
        </w:tc>
      </w:tr>
      <w:tr>
        <w:trPr>
          <w:trHeight w:val="304"/>
        </w:trPr>
        <w:tc>
          <w:tcPr>
            <w:tcW w:w="10920" w:type="dxa"/>
            <w:vAlign w:val="bottom"/>
            <w:gridSpan w:val="11"/>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Notes to Consolidated Financial Statements</w:t>
              </w:r>
            </w:hyperlink>
          </w:p>
        </w:tc>
        <w:tc>
          <w:tcPr>
            <w:tcW w:w="400" w:type="dxa"/>
            <w:vAlign w:val="bottom"/>
          </w:tcPr>
          <w:p>
            <w:pPr>
              <w:ind w:left="160"/>
              <w:spacing w:after="0"/>
              <w:rPr>
                <w:sz w:val="20"/>
                <w:szCs w:val="20"/>
                <w:color w:val="auto"/>
              </w:rPr>
            </w:pPr>
            <w:r>
              <w:rPr>
                <w:rFonts w:ascii="Arial" w:cs="Arial" w:eastAsia="Arial" w:hAnsi="Arial"/>
                <w:sz w:val="18"/>
                <w:szCs w:val="18"/>
                <w:color w:val="auto"/>
                <w:w w:val="81"/>
              </w:rPr>
              <w:t>F-7</w:t>
            </w:r>
          </w:p>
        </w:tc>
      </w:tr>
      <w:tr>
        <w:trPr>
          <w:trHeight w:val="383"/>
        </w:trPr>
        <w:tc>
          <w:tcPr>
            <w:tcW w:w="220" w:type="dxa"/>
            <w:vAlign w:val="bottom"/>
            <w:tcBorders>
              <w:top w:val="single" w:sz="8" w:color="0000EE"/>
            </w:tcBorders>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0" w:type="dxa"/>
            <w:vAlign w:val="bottom"/>
            <w:gridSpan w:val="5"/>
          </w:tcPr>
          <w:p>
            <w:pPr>
              <w:jc w:val="center"/>
              <w:ind w:right="36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 of Myovant Sciences Ltd.:</w:t>
      </w:r>
    </w:p>
    <w:p>
      <w:pPr>
        <w:ind w:right="140" w:firstLine="456"/>
        <w:spacing w:after="0" w:line="306" w:lineRule="auto"/>
        <w:rPr>
          <w:sz w:val="20"/>
          <w:szCs w:val="20"/>
          <w:color w:val="auto"/>
        </w:rPr>
      </w:pPr>
      <w:r>
        <w:rPr>
          <w:rFonts w:ascii="Arial" w:cs="Arial" w:eastAsia="Arial" w:hAnsi="Arial"/>
          <w:sz w:val="16"/>
          <w:szCs w:val="16"/>
          <w:color w:val="auto"/>
        </w:rPr>
        <w:t>We have audited the accompanying balance sheet of Myovant Sciences Ltd. as of March 31, 2016, and the related statements of operations and comprehensive loss, shareholder’s deficit and cash flows for the period from February 2, 2016 (date of inception) to March 31, 2016. These financial statements are the responsibility of the Company’s management. Our responsibility is to express an opinion on these financial statements based on our audit.</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Myovant Sciences Ltd. at March 31, 2016, and the results of its operations and its cash flows for the period from February 2, 2016 (date of inception) to March 31, 2016, in conformity with U.S. generally accepted accounting principles.</w:t>
      </w:r>
    </w:p>
    <w:p>
      <w:pPr>
        <w:spacing w:after="0" w:line="127"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insufficient capital to fund its operations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Metro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October 19, 2016</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As of</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As of June 30, 2016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Deferred initial public offering costs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523,681</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Accrued expenses and 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222,650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Roivant Sciences Ltd. and Roivant Science, Inc.</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222,650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2,146,775</w:t>
            </w:r>
          </w:p>
        </w:tc>
        <w:tc>
          <w:tcPr>
            <w:tcW w:w="0" w:type="dxa"/>
            <w:vAlign w:val="bottom"/>
          </w:tcPr>
          <w:p>
            <w:pPr>
              <w:spacing w:after="0"/>
              <w:rPr>
                <w:sz w:val="1"/>
                <w:szCs w:val="1"/>
                <w:color w:val="auto"/>
              </w:rPr>
            </w:pPr>
          </w:p>
        </w:tc>
      </w:tr>
      <w:tr>
        <w:trPr>
          <w:trHeight w:val="331"/>
        </w:trPr>
        <w:tc>
          <w:tcPr>
            <w:tcW w:w="852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222,650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9,121,775</w:t>
            </w:r>
          </w:p>
        </w:tc>
        <w:tc>
          <w:tcPr>
            <w:tcW w:w="0" w:type="dxa"/>
            <w:vAlign w:val="bottom"/>
          </w:tcPr>
          <w:p>
            <w:pPr>
              <w:spacing w:after="0"/>
              <w:rPr>
                <w:sz w:val="1"/>
                <w:szCs w:val="1"/>
                <w:color w:val="auto"/>
              </w:rPr>
            </w:pPr>
          </w:p>
        </w:tc>
      </w:tr>
      <w:tr>
        <w:trPr>
          <w:trHeight w:val="221"/>
        </w:trPr>
        <w:tc>
          <w:tcPr>
            <w:tcW w:w="85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Common shares, par value $0.000017727 per share, 564,111,242 shares authorized, 37,231,342,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Arial" w:cs="Arial" w:eastAsia="Arial" w:hAnsi="Arial"/>
                <w:sz w:val="18"/>
                <w:szCs w:val="18"/>
                <w:color w:val="auto"/>
                <w:w w:val="98"/>
              </w:rPr>
              <w:t>43,590,411 and 60,227,953 issued and outstanding at March 31, 2016, June 30, 2016 and June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40"/>
              <w:spacing w:after="0"/>
              <w:rPr>
                <w:sz w:val="20"/>
                <w:szCs w:val="20"/>
                <w:color w:val="auto"/>
              </w:rPr>
            </w:pPr>
            <w:r>
              <w:rPr>
                <w:rFonts w:ascii="Arial" w:cs="Arial" w:eastAsia="Arial" w:hAnsi="Arial"/>
                <w:sz w:val="18"/>
                <w:szCs w:val="18"/>
                <w:color w:val="auto"/>
              </w:rPr>
              <w:t>2016 pro forma, respectively</w:t>
            </w:r>
          </w:p>
        </w:tc>
        <w:tc>
          <w:tcPr>
            <w:tcW w:w="120" w:type="dxa"/>
            <w:vAlign w:val="bottom"/>
          </w:tcPr>
          <w:p>
            <w:pPr>
              <w:spacing w:after="0"/>
              <w:rPr>
                <w:sz w:val="19"/>
                <w:szCs w:val="19"/>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subscribed</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Additional paid-capital</w:t>
            </w:r>
          </w:p>
        </w:tc>
        <w:tc>
          <w:tcPr>
            <w:tcW w:w="1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1,434,138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12,029,070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(1,656,788)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(20,627,277)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Total shareholders’ deficit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(222,650)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(8,598,094)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Period from</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February 2, 2016</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Ended June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(Date of Inception)</w:t>
            </w: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to March 31, 2016</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14,573,014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1,656,788</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1,656,788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17,134,892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Changes in the fair value of the warrant liability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(1,832,543)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(1,656,788)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(18,967,435)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(1,656,788)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(18,970,489)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37,231,342</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40,771,548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share—basic and diluted (unaudited)</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common shares outstanding—basic and diluted (unaudited)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42,748,817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MYOVANT SCIENCES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FOR THE PERIOD FROM FEBRUARY 2, 2016 (DATE OF INCEPTION) TO MARCH 31, 2016 AND FOR THE THREE MONTHS ENDED JUNE 30, 2016 (UNAUDITED)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80" w:type="dxa"/>
            <w:vAlign w:val="bottom"/>
            <w:gridSpan w:val="4"/>
            <w:vMerge w:val="restart"/>
          </w:tcPr>
          <w:p>
            <w:pPr>
              <w:jc w:val="right"/>
              <w:ind w:right="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4560" w:type="dxa"/>
            <w:vAlign w:val="bottom"/>
          </w:tcPr>
          <w:p>
            <w:pPr>
              <w:spacing w:after="0"/>
              <w:rPr>
                <w:sz w:val="5"/>
                <w:szCs w:val="5"/>
                <w:color w:val="auto"/>
              </w:rPr>
            </w:pPr>
          </w:p>
        </w:tc>
        <w:tc>
          <w:tcPr>
            <w:tcW w:w="1380" w:type="dxa"/>
            <w:vAlign w:val="bottom"/>
            <w:tcBorders>
              <w:bottom w:val="single" w:sz="8" w:color="auto"/>
            </w:tcBorders>
            <w:gridSpan w:val="4"/>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5"/>
                <w:szCs w:val="5"/>
                <w:color w:val="auto"/>
              </w:rPr>
            </w:pPr>
          </w:p>
        </w:tc>
        <w:tc>
          <w:tcPr>
            <w:tcW w:w="11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62"/>
        </w:trPr>
        <w:tc>
          <w:tcPr>
            <w:tcW w:w="4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Subscribed</w:t>
            </w:r>
          </w:p>
        </w:tc>
        <w:tc>
          <w:tcPr>
            <w:tcW w:w="14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Paid-in Capital</w:t>
            </w: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February 2,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37,231,342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660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w w:val="76"/>
              </w:rPr>
              <w:t>(660)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Capital contribution</w:t>
            </w: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1,434,138</w:t>
            </w:r>
          </w:p>
        </w:tc>
        <w:tc>
          <w:tcPr>
            <w:tcW w:w="12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1,434,138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(1,656,788)</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 at March 31, 2016</w:t>
            </w: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37,231,342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1,434,138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(1,656,788)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(222,650)</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to Takeda under the Takeda license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agreement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5,077,001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7,739,910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7,740,000</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Share-based compensation expense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1,128,222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18,278</w:t>
            </w:r>
          </w:p>
        </w:tc>
        <w:tc>
          <w:tcPr>
            <w:tcW w:w="12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for the warrant liability, under the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Takeda license agreement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153,846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234,540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234,543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Capital contribution - share based compensation</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2,602,204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2,602,204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(18,970,489)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(18,970,489)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 at June 30, 2016 (unaudited)</w:t>
            </w: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43,590,411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12,029,070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(20,627,277)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(8,598,094)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MYOVANT SCIENCES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Period from</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360" w:type="dxa"/>
            <w:vAlign w:val="bottom"/>
          </w:tcPr>
          <w:p>
            <w:pPr>
              <w:spacing w:after="0"/>
              <w:rPr>
                <w:sz w:val="12"/>
                <w:szCs w:val="12"/>
                <w:color w:val="auto"/>
              </w:rPr>
            </w:pPr>
          </w:p>
        </w:tc>
        <w:tc>
          <w:tcPr>
            <w:tcW w:w="20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February 2, 2016</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Ended June</w:t>
            </w:r>
          </w:p>
        </w:tc>
      </w:tr>
      <w:tr>
        <w:trPr>
          <w:trHeight w:val="149"/>
        </w:trPr>
        <w:tc>
          <w:tcPr>
            <w:tcW w:w="8360" w:type="dxa"/>
            <w:vAlign w:val="bottom"/>
          </w:tcPr>
          <w:p>
            <w:pPr>
              <w:spacing w:after="0"/>
              <w:rPr>
                <w:sz w:val="12"/>
                <w:szCs w:val="12"/>
                <w:color w:val="auto"/>
              </w:rPr>
            </w:pPr>
          </w:p>
        </w:tc>
        <w:tc>
          <w:tcPr>
            <w:tcW w:w="2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(Date of Inception)</w:t>
            </w: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30, 2016</w:t>
            </w:r>
          </w:p>
        </w:tc>
        <w:tc>
          <w:tcPr>
            <w:tcW w:w="100" w:type="dxa"/>
            <w:vAlign w:val="bottom"/>
          </w:tcPr>
          <w:p>
            <w:pPr>
              <w:spacing w:after="0"/>
              <w:rPr>
                <w:sz w:val="12"/>
                <w:szCs w:val="12"/>
                <w:color w:val="auto"/>
              </w:rPr>
            </w:pPr>
          </w:p>
        </w:tc>
      </w:tr>
      <w:tr>
        <w:trPr>
          <w:trHeight w:val="161"/>
        </w:trPr>
        <w:tc>
          <w:tcPr>
            <w:tcW w:w="8360" w:type="dxa"/>
            <w:vAlign w:val="bottom"/>
          </w:tcPr>
          <w:p>
            <w:pPr>
              <w:spacing w:after="0"/>
              <w:rPr>
                <w:sz w:val="14"/>
                <w:szCs w:val="14"/>
                <w:color w:val="auto"/>
              </w:rPr>
            </w:pPr>
          </w:p>
        </w:tc>
        <w:tc>
          <w:tcPr>
            <w:tcW w:w="20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to March 31, 2016</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(1,656,788)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(18,970,489)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1,434,138</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2,620,502</w:t>
            </w: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in-process research and development expenses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13,117,000</w:t>
            </w: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Changes in the fair value of the warrant liability</w:t>
            </w:r>
          </w:p>
        </w:tc>
        <w:tc>
          <w:tcPr>
            <w:tcW w:w="160" w:type="dxa"/>
            <w:vAlign w:val="bottom"/>
          </w:tcPr>
          <w:p>
            <w:pPr>
              <w:spacing w:after="0"/>
              <w:rPr>
                <w:sz w:val="18"/>
                <w:szCs w:val="18"/>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1,832,543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Due to Roivant Sciences Ltd. and Roivant Sciences, Inc.</w:t>
            </w:r>
          </w:p>
        </w:tc>
        <w:tc>
          <w:tcPr>
            <w:tcW w:w="160" w:type="dxa"/>
            <w:vAlign w:val="bottom"/>
          </w:tcPr>
          <w:p>
            <w:pPr>
              <w:spacing w:after="0"/>
              <w:rPr>
                <w:sz w:val="18"/>
                <w:szCs w:val="18"/>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1,153,378</w:t>
            </w: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r>
      <w:tr>
        <w:trPr>
          <w:trHeight w:val="223"/>
        </w:trPr>
        <w:tc>
          <w:tcPr>
            <w:tcW w:w="8360" w:type="dxa"/>
            <w:vAlign w:val="bottom"/>
          </w:tcPr>
          <w:p>
            <w:pPr>
              <w:ind w:left="880"/>
              <w:spacing w:after="0"/>
              <w:rPr>
                <w:sz w:val="20"/>
                <w:szCs w:val="20"/>
                <w:color w:val="auto"/>
              </w:rPr>
            </w:pPr>
            <w:r>
              <w:rPr>
                <w:rFonts w:ascii="Arial" w:cs="Arial" w:eastAsia="Arial" w:hAnsi="Arial"/>
                <w:sz w:val="18"/>
                <w:szCs w:val="18"/>
                <w:color w:val="auto"/>
              </w:rPr>
              <w:t>Accrued expenses and accounts payable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222,650</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244,012</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8360" w:type="dxa"/>
            <w:vAlign w:val="bottom"/>
          </w:tcPr>
          <w:p>
            <w:pPr>
              <w:spacing w:after="0"/>
              <w:rPr>
                <w:sz w:val="20"/>
                <w:szCs w:val="20"/>
                <w:color w:val="auto"/>
              </w:rPr>
            </w:pPr>
            <w:r>
              <w:rPr>
                <w:rFonts w:ascii="Arial" w:cs="Arial" w:eastAsia="Arial" w:hAnsi="Arial"/>
                <w:sz w:val="18"/>
                <w:szCs w:val="18"/>
                <w:color w:val="auto"/>
              </w:rPr>
              <w:t>Net change in cash</w:t>
            </w:r>
          </w:p>
        </w:tc>
        <w:tc>
          <w:tcPr>
            <w:tcW w:w="160" w:type="dxa"/>
            <w:vAlign w:val="bottom"/>
          </w:tcPr>
          <w:p>
            <w:pPr>
              <w:spacing w:after="0"/>
              <w:rPr>
                <w:sz w:val="19"/>
                <w:szCs w:val="19"/>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Cash—end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Deferred initial public offering costs, unpaid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523,681</w:t>
            </w: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in-process research and development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13,117,000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MYOVANT SCIENCES LTD.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as of June 30, 2016 and for the three months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Liquidity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Myovant Sciences Ltd. and its subsidiaries (the “Company”) is a clinical-stage biopharmaceutical company focused on developing and commercializing innovative therapies for women’s health diseases and other endocrine-related disorders. The Company is developing its lead product candidate, relugolix, for the treatment of heavy menstrual bleeding associated with uterine fibroids, endometriosis-associated pain and advanced prostate cancer, and its second product candidate, RVT-602, for the treatment of female infertility as part of assisted reproduction. The Company was founded on February 2, 2016 as a Bermuda Exempted Limited Company and a wholly-owned subsidiary of Roivant Sciences Ltd. (“RSL”), under the name Roivant Endocrinology Ltd. The Company changed its name to Myovant Sciences Ltd. (“MSL”) in May 2016. In April 2016, Roivant Endocrinology Inc. (“REI”), a wholly-owned subsidiary of the Company was formed and based in the United States of America and subsequently changed its name to Myovant Sciences, Inc. (“MSI”). The Company’s fiscal year ends on March 31.</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its inception, the Company has devoted substantially all of its efforts to organizing the Company, acquiring its drug development programs and preparing for and advancing its product candidates into clinical development. The Company has determined that it has one operating and reporting segment. The Company has two product candidates, relugolix and RVT-602, under development which were licensed from Takeda Pharmaceuticals International AG (“Takeda”) on April 29, 2016 (See Note 3).</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Unaudited Interim Consolidated Financial Information:</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accompanying interim consolidated balance sheet as of June 30, 2016 and the consolidated statements of operations, cash flows and shareholder’s deficit for the three months ended June 30, 2016 are unaudited. The unaudited interim consolidated financial statements have been prepared in accordance with U.S. generally accepted accounting principles and on the same basis as the audited consolidated financial statements. In the opinion of management, the unaudited interim consolidated financial statements include all adjustments, consisting of normal recurring adjustments, necessary for the fair presentation of our financial position at June 30, 2016 and the consolidated results of operations and cash flows for the three months ended June 30, 2016. The results for the three months ended June 30, 2016 are not necessarily indicative of the results to be expected for the year ending March 31, 2017 or for any future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Unaudited Pro Forma Information:</w:t>
      </w:r>
    </w:p>
    <w:p>
      <w:pPr>
        <w:spacing w:after="0" w:line="14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unaudited pro forma net loss per share is computed using the weighted average number of common shares outstanding after giving effect to the issuance of 1,977,269 additional common shares to Takeda upon the closing of the Company’s initial public offering, as if such exercise had occurred at the beginning of the period presented, pursuant to the automatic exercise of a warrant held by Takeda.</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Liquidity:</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not been capitalized with sufficient funding to conduct its operations. Certain other costs of conducting the Company’s operations were paid by RSL or RSL’s wholly-owned subsidiary, Roivant Sciences, Inc. (“RSI”), and will be reimbursed by the Company upon receipt of additional external funding pursuant to a services agreement with RSI and MSI. The Company has not generated any revenues and does not anticipate generating any revenues in the foreseeable future. Since the Company has no available cash or credit facilities, the Company is dependent upon RSL and its affiliates to provide services and funding to support the operations of the Company until, at least, such time as external financing is completed.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 amounts or the amounts and classification of liabilities that might result from the outcome of this uncertainty. The Company anticipates incurring additional losses until such time, if ever, that it can obtain marketing approval to sell, and then generate significant sales, of its product candidates that are currently in development. Substantial additional financing will be needed by the Company to fund its operations and to develop and commercialize its product candidates. These factors raise substantial doubt about the Company’s ability to continue as a going concern.</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will seek to obtain additional capital through the sale of debt or equity financings or other arrangements to fund operations; however, there can be no assurance that the Company will be able to raise needed capital under acceptable terms, if at all. The sale of additional equity may dilute existing shareholders and newly issued shares may contain senior rights and preferences compared to currently outstanding common shares. Issued debt securities may contain covenants and limit the Company’s ability to pay dividends or make other distributions to shareholders. If the Company is unable to obtain such additional financing, operations would need to be scaled back or discontinued. The Company is currently exploring external financing alternatives which will be needed by the Company to fund its operations.</w:t>
      </w:r>
    </w:p>
    <w:p>
      <w:pPr>
        <w:spacing w:after="0" w:line="1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future operations are highly dependent on a combination of factors, including (i) the timely and successful completion of additional financing discussed above; (ii) the success of its research and development program; (iii) the development of competitive therapies by other biotechnology and pharmaceutical companies, (iv) the Company’s ability to manage growth of the organization; (v) the Company’s ability to protect its proprietary technology; and, ultimately; (vi) regulatory approval and market acceptance of the Company’s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irrevocably elected not to avail itself of this extended transition period, and, as a result, the Company will adopt new or revised accounting standards on the relevant dates on which adoption of such standards is required for other public companies.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The Company regularly evaluates estimates and assumptions related to assets, liabilities, costs, expenses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Risks and Uncertainties:</w:t>
      </w:r>
    </w:p>
    <w:p>
      <w:pPr>
        <w:spacing w:after="0" w:line="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Company is subject to risks common to companies in the pharmaceutical industry including, but not limited to, uncertainties related to commercialization of products, regulatory approvals, dependence on key products, third-party service providers such as contract research organizations and protection of intellectual property rights.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Deferred Offering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Deferred offering costs, which consisted of direct costs related to the Company’s initial public offering of its common stock, are being capitalized in other assets until the consummation of the initial public offering. These offering costs will be reclassified to additional paid-in capital upon the closing of the Company’s initial public offering.</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Research and Development Expense:</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Research and development costs are expensed as incurred. Clinical study costs are accrued over the service periods specified in the contracts and adjusted as necessary based on an ongoing review of the level of effort and costs actually incurred. Payments for a product license prior to regulatory approval of the product and payments for milestones achieved prior to regulatory approval of the product are expensed in the period incurred as research and development. Milestone payments made in connection with regulatory approvals are capitalized and amortized to cost of revenue over the remaining useful life of the asset. Research and development expenses primarily consist of the intellectual property and research and development materials acquired, certain costs charged by RSI under its services agreement with the Company and expenses from third parties who conduct research and development activities on behalf of the Company. The Company expenses in-process research and development projects acquired as asset acquisitions which have not reached technological feasibility and which have no alternative future use. Clinical study costs are accrued over the service periods specified in the contracts and adjusted as necessary based upon an ongoing review of the level of effort and costs actually incurred.</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Warrant Liability: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records the warrant liability at its estimated fair value as a liability in the consolidated balance sheet. The Company remeasures the estimated fair value of the warrant liability each reporting period and records the changes in the fair value in the statement of operations as other (expense) income (See Note 8).</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Company Valuation: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estimate certain expenses and record certain transactions, it is necessary for the Company to estimate the fair value of its common shares. Given the absence of a public trading market, and in accordance with the American Institute of Certified Public Accountants’ Practice Guide, “Valuation of Privately-Held-Company Equity Securities Issued as Compensation”, the Company exercised reasonable judgment and considered numerous objective and subjective factors to determine its best estimate of the fair value of its common shares (See Note 3).</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Income Taxes: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Share-Based Compensation:</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Share-based awards to employees and directors are valued at fair value on the date of the grant and that fair value is recognized as share based compensation expense over the requisite service period. The Company values its stock options using the Black-Scholes option pricing model. Certain assumptions need to be made with respect to utilizing the Black-Scholes option pricing model, including the expected life of the award, volatility of the underlying shares, the risk-free interest rate, the fair value of the Company’s common shares and anticipated forfeiture of the share-based awards. Since the Company has limited option exercise history, it has generally elected to estimate the expected life of an award based upon the Securities and Exchange Commission-approved “simplified method” noted under the provisions of Staff Accounting Bulletin No. 107 with the continued use of this method extended under the provisions of Staff Accounting Bulletin No. 110.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Estimates of pre-vesting award forfeitures are based on the Company’s expectations of future employee turnover. The Company will adjust its estimate of forfeitures over the requisite service period based on the extent to which actual forfeitures differ, or are expected to differ, from such estimates. Changes in estimated forfeitures will be recognized through a cumulative catch-up adjustment in the period of change and will also impact the amount of compensation expense to be recognized in future periods.</w:t>
      </w:r>
    </w:p>
    <w:p>
      <w:pPr>
        <w:spacing w:after="0" w:line="11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accounts for share-based payments to non-employees issued in exchange for services based upon the fair value of the equity instruments issued. Compensation expense for stock options issued to non-employees is calculated using the Black-Scholes option pricing model and is recorded over the service performance period. Options subject to vesting are required to be periodically remeasured over their service performance period, which is generally the same as the vesting period.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Basic net loss per common share is computed by dividing net loss applicable to common shareholders by the weighted-average number of common shares outstanding during the period. Diluted net loss per common share is computed by dividing the net loss applicable to common shareholders by the diluted weighted-average number of common shares outstanding during the period calculated in accordance with the treasury stock method. For the period from February 2, 2016 (date of inception) to March 31, 2016, there were no instruments outstanding that would be anti-dilutive. For the three months ended June 30, 2016, 1,128,222 restricted stock awards were not included in the calculation of diluted weighted-average common shares outstanding because they were anti-dilutive.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Recently Issued Accounting Pronouncements:</w:t>
      </w:r>
    </w:p>
    <w:p>
      <w:pPr>
        <w:spacing w:after="0" w:line="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August 2014, the FASB issued ASU No.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(ASU No. 2014-15). ASU No. 2014-15 is intended to define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to evaluate whether there is substantial doubt about an entity’s ability to continue as a going concern and to provide related footnote disclosures. Specifically, ASU No. 2014-15 provides a definition of the term substantial doubt and requires an assessment for a period of one year after the date that the financial statements are issued. It also requires certain disclosures when substantial doubt is alleviated as a result of consideration of management’s plans and requires an express statement and other disclosures when substantial doubt is not alleviated. The new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standard will be effective for reporting periods ending after December 15, 2016, with early adoption permitted. Management does not expect the adoption of ASU No. 2014-15 will significantly impact its consolidated financial statements and disclosures.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(ASU No. 2015-17). This amendment will simplify the presentation of deferred tax assets and liabilities on the balance sheet and require all deferred tax assets and liabilities to be treated as non-current. ASU No. 2015-17 is effective for fiscal years, and interim periods within those fiscal years, beginning after December 15, 2016, with early adoption permitted. The Company has adopted ASU No. 2015-17. The adoption of ASU No. 2015-17 did not have a significant impact on the Company’s consolidated financial statements and related disclosures.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which is a comprehensive new lease standard that amends various aspects of existing accounting guidance for leases. The core principle of ASU No. 2016-02 will require lessees to present the assets and liabilities that arise from leases on their balance sheets. ASU No. 2016-02 is effective for annual periods beginning after December 15, 2019, and interim periods within fiscal years beginning after December 15, 2019. Early adoption is permitted. The Company is currently evaluating the new standard and its impact on the Company’s consolidated financial statements and related disclosures.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(ASU No. 2016-09). This ASU makes several modifications to Topic 718 related to the accounting for forfeitures, employer tax withholding on</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The Company expects to adopt this guidance when effective and is currently evaluating the effect that the updated standard will have on its consolidated financial statements and related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3—License Agreement</w:t>
      </w:r>
    </w:p>
    <w:p>
      <w:pPr>
        <w:spacing w:after="0" w:line="83" w:lineRule="exact"/>
        <w:rPr>
          <w:sz w:val="20"/>
          <w:szCs w:val="20"/>
          <w:color w:val="auto"/>
        </w:rPr>
      </w:pPr>
    </w:p>
    <w:p>
      <w:pPr>
        <w:jc w:val="both"/>
        <w:ind w:right="160" w:firstLine="456"/>
        <w:spacing w:after="0" w:line="347" w:lineRule="auto"/>
        <w:rPr>
          <w:sz w:val="20"/>
          <w:szCs w:val="20"/>
          <w:color w:val="auto"/>
        </w:rPr>
      </w:pPr>
      <w:r>
        <w:rPr>
          <w:rFonts w:ascii="Arial" w:cs="Arial" w:eastAsia="Arial" w:hAnsi="Arial"/>
          <w:sz w:val="15"/>
          <w:szCs w:val="15"/>
          <w:color w:val="auto"/>
        </w:rPr>
        <w:t>On April 29, 2016 the Company entered into a license agreement pursuant to which Takeda granted to the Company an exclusive, royalty-bearing license under certain patents and other intellectual property controlled by Takeda to develop and commercialize relugolix and RVT-602, in exchange for the following:</w:t>
      </w:r>
    </w:p>
    <w:p>
      <w:pPr>
        <w:spacing w:after="0" w:line="1" w:lineRule="exact"/>
        <w:rPr>
          <w:sz w:val="20"/>
          <w:szCs w:val="20"/>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issued and delivered 5,077,001 common shares at closing.</w:t>
      </w:r>
    </w:p>
    <w:p>
      <w:pPr>
        <w:spacing w:after="0" w:line="103" w:lineRule="exact"/>
        <w:rPr>
          <w:rFonts w:ascii="Arial" w:cs="Arial" w:eastAsia="Arial" w:hAnsi="Arial"/>
          <w:sz w:val="18"/>
          <w:szCs w:val="18"/>
          <w:color w:val="auto"/>
        </w:rPr>
      </w:pPr>
    </w:p>
    <w:p>
      <w:pPr>
        <w:ind w:left="660" w:right="40" w:hanging="206"/>
        <w:spacing w:after="0" w:line="291"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will pay Takeda a fixed, high single-digit royalty on net sales of relugolix and RVT-602 products in the Company’s territory, subject to certain agreed reductions. Takeda will pay the Company a royalty at the same rate as the Company’s on net sales of relugolix products for prostate cancer in Japan and certain other Asian countries, subject to certain agreed reductions. Royalties are required to be paid, on a product-by-product and country-by-country basis, until the latest of the expiration of the last to expire valid claim of a licensed patent covering such product in such country, the expiration of regulatory exclusivity for such product in such country, or 10 years after the first commercial sale of such product in such country. Under this license agreement, there are no payments upon the achievement of clinical development or marketing approval milestones.</w:t>
      </w:r>
    </w:p>
    <w:p>
      <w:pPr>
        <w:spacing w:after="0" w:line="25" w:lineRule="exact"/>
        <w:rPr>
          <w:rFonts w:ascii="Arial" w:cs="Arial" w:eastAsia="Arial" w:hAnsi="Arial"/>
          <w:sz w:val="16"/>
          <w:szCs w:val="16"/>
          <w:color w:val="auto"/>
        </w:rPr>
      </w:pPr>
    </w:p>
    <w:p>
      <w:pPr>
        <w:jc w:val="both"/>
        <w:ind w:left="660" w:right="20" w:hanging="206"/>
        <w:spacing w:after="0" w:line="335" w:lineRule="auto"/>
        <w:tabs>
          <w:tab w:leader="none" w:pos="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Company issued a warrant to Takeda to purchase an indeterminate number of capital shares. The warrant entitles Takeda, together with its affiliates, to maintain a 12% ownership interest in the Company, as determined after such exercise, through the later of (i) the one-year anniversary of the issuance of the warrant (April 2017) or (ii) the final closing of an initial public offering as per the agreement, unless earlier terminated upon a change in control.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the consideration above, the Company also received a small quantity of relugolix and RVT-602, and certain historical research and development records. The Company did not hire, or receive, any Takeda workforce or employees working on relugolix and RVT-602, or any research, clinical or manufacturing equipment. The Company did not assume any contracts, licenses or agreements between Takeda and any third party with respect to relugolix and RVT-602. The Company will need to independently develop all clinical processes and procedures for its clinical trials through the use of internal and external resources once appropriate and acceptable resources have been identified and obtained. If the license agreement is terminated in its entirety or with respect to relugolix for prostate cancer, other than for safety reasons or by the Company for Takeda’s uncured material breach, prior to receipt of the first regulatory approval of relugolix for prostate cancer in Japan, then the Company must either reimburse Takeda for its out of pocket costs and expenses directly incurred in connection with Takeda’s completion of the relugolix development for prostate cancer, up to an agreed cap, or complete by itself the conduct of any clinical trials of relugolix for prostate cancer that are ongoing as of the effective date of such termination, at its cost and expense.</w:t>
      </w:r>
    </w:p>
    <w:p>
      <w:pPr>
        <w:spacing w:after="0" w:line="10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the intellectual property and inventory acquired had no alternative future use, the Company recorded $13,117,000 as research and development expense at the closing date of the acquisition of the rights, April 29, 2016, which consisted of $7,740,000 for the estimated fair value of the 5,077,001 common shares issued and $5,377,000 for the estimated fair value of warrant liability. Significant judgment and estimates were used to estimate the fair value of common shares and warrant liability, as they are not publicly traded and are considered Level 3 measurement within the fair value hierarchy.</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estimation of the fair value of the common shares considered factors including the following: the estimated present value of the Company’s future cash flows; industry information such as market size and growth; market capitalization of comparable companies and the estimated value of transactions such companies have engaged in; and macroeconomic conditions. No events have come to the attention of the Company’s management between the date of the most recent valuation and the balance sheet date which would have a material impact on the valuation of the Company.</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estimation of the fair value of the warrant liability was determined based on a Monte Carlo simulation model which requires various highly subjective unobservable inputs (See Note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Services Agreement:</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2016, the Company entered into a formal services agreement with RSI (the “Services Agreement”) effective April 29, 2016, under which RSI agreed to provide certain administrative and research and development services to the Company during the formative period of the Company. Under the Services Agreement, the Company will pay or reimburse RSI for any expenses it, or third parties acting on its behalf, incurs for the Company. For any general and administrative and research and development activities performed by RSI employees, RSI will charge back the employee compensation expense plus a pre-determined mark-up. RSI also provided such services prior to the formalization of the Services Agreement, and such costs have been recognized by the Company in the period in which the services were rendered. Employee compensation expense, inclusive of base salary and fringe benefits, is determined based upon the relative percentage of time utilized on Company matters. All other costs will be billed back at cost.</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period from February 2, 2016 (date of inception) to March 31, 2016 and the three months ended June 30, 2016, RSL and RSI provided certain administrative services on behalf of the Company during the formative period of the Company. Total compensation expense, inclusive of base salary, fringe benefits and share-based compensation, is proportionately allocated to the Company based upon the relative percentage of time utilized on the Company’s matters. A significant component of total compensation expense allocated back to the Company relates to the RSL common share awards and RSL options issued by RSL to RSL and RSI employees.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period from February 2, 2016 (date of inception) to March 31, 2016 the amount of salary and fringe benefits and share-based compensation allocated to the Company was $1,390,798. For the three months ended June, 30, 2016 the share-based compensation allocated to the Company was $2,602,204. For the three months ended June 30, 2016, salary and fringe benefits were included in the $1,031,559 that was billed to the Company under the Services Agreement.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Option Agreement:</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2016, the Company entered into an option agreement with RSL pursuant to which RSL granted to the Company an option to acquire the rights to products to which RSL or any nonpublic affiliate of RSL acquires the rights (other than a relugolix product or a competing product) for uterine fibroids or endometriosis, or for which the primary target indication is advanced prostate cancer. The Company’s option is exercisable at any time during the period commencing upon the completion of its initial public offering and ending two years following the date of first commercial sale of a relugolix product in a major market country. If the Company elects to exercise its option for a product, it will be required to reimburse RSL for 110% of any payments made by RSL or its affiliate for such product, and will receive an assignment of the agreement through which RSL or its affiliate acquired the rights to such product.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Information Sharing and Cooperation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2016, the Company entered into an information sharing and cooperation agreement, or the Cooperation Agreement, with RSL. The Cooperation Agreement, among other things: (1) obligates the Company to deliver periodic financial statements and other financial information to RSL and to comply with other specified financial reporting requirements; and (2) requires the Company to supply certain material information to RSL to assist it in preparing any future SEC filings. Subject to specified exceptions, the Cooperation Agreement will terminate upon the earlier of the mutual written consent of the parties or when RSL is no longer required by U.S. GAAP to consolidate the Company’s results of operations and financial position, account for its investment in the Company under the equity method of accounting or, by any rule of the SEC, include the Company’s separate financial statements in any filings it may make with the SEC.</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Manufacture and Supply Agreement: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June 2016, the Company and Takeda’s affiliate, Takeda Pharmaceutical Company Limited (“Takeda Limited”) entered into an agreement for the manufacture and supply of relugolix. Under this agreement, Takeda Limited will supply the Company, and the Company will obtain from Takeda Limited, all of its requirements for relugolix drug substance and drug product to be used under its development plans for all indications. If the Company requests, Takeda Limited will assist it with a technical transfer of the manufacturing process for relugolix to it or its designee and the Company will pay the expenses related to such transfer.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5—Shareholder’s Deficit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Overview:</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Memorandum of Association, filed on February 2, 2016 in Bermuda, authorized the creation of one class of shares. As of June 30, 2016, the Company had 564,111,242 shares authorized with a par value of $0.000017727 per share.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Restricted Stock Award:</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June 2016, the Company granted a restricted stock award for 1,128,222 common shares to the Company’s Principal Executive Officer under the 2016 Equity Incentive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460"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Warrant Liability:</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June 2016, the Company issued 153,846 common shares to Takeda upon the automatic exercise of the warrant, which was initiated by the grant of a restricted stock award for 1,128,222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provision for income taxes is based on income taxes in the United States for federal, state and local income taxes. The Company is not subject to taxation under the laws of Bermuda since it is was organized as a Bermuda Exempted Limited Company, for which there is no current tax regime. The Company’s effective tax rate for the period from February 2, 2016 (date of inception) to March 31, 2016 and for the three months ended June 30, 2016 was 0.0% and (0.02)%, respectively. As of March 31, 2016 and June 30, 2016, there were no significant uncertain tax positions.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Stock Options and Restricted Stock Awards Granted:</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2016, the Company adopted its 2016 Equity Incentive Plan (the “2016 Plan”), under which 4,230,834 common shares are reserved for grant. The Company’s employees, directors and consultants are eligible to receive non-qualified and incentive stock options, stock appreciation rights, restricted stock awards, restricted stock unit awards, and other stock awards under the plan. Generally, each option will have an exercise price equal to the fair market value of the Company’s common shares on the date of grant. For grants of incentive stock options, if the grantee owns, or is deemed to own, 10% or more of the total voting power of the Company, then the exercise price shall be 110% of the fair market value of the Company’s common shares on the date of grant and the option will have a five-year contractual term. Options that are forfeited or expire are available for future grants.</w:t>
      </w:r>
    </w:p>
    <w:p>
      <w:pPr>
        <w:spacing w:after="0" w:line="107"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Stock options granted under the 2016 Plan may provide option holders, if approved by the Board of Directors, the right to exercise their options prior to vesting. In the event that an option holder exercises the unvested portion of any option, such unvested portion will be subject to a repurchase option held by the Company at the lower of (1) the fair market value of its common shares on the date of repurchase and (2) the exercise price of the options. Any common shares underlying such unvested portion will continue to vest in accordance with the original vesting schedule of the option. As of June 30, 2016, no stock options had been granted by the Company.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2016, the Company granted a restricted stock award for 1,128,222 common shares to the Company’s Principal Executive Officer under the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the period from February 2, 2016 (date of inception) to March 31, 2016, there was no share-based compensation expense. For the three months ended June 30, 2016, share-based compensation expense was $18,298. At June 30, 2016, total unrecognized compensation expense related to non-vested restricted stock award was $1,701,702 and is expected to be recognized over the remaining weighted-average service period of 3.92 years.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Share-Based Compensation Allocated to the Company:</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relation to the RSL common share awards and options issued by RSL to RSL and RSI employees, the Company recorded share-based compensation expense of $987,066 and $2,602,204, respectively, for the period from February 2, 2016 (date of inception) to March 31, 2016 and the three months ended June 30, 2016.</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Share-based compensation expense is allocated to the Company by RSL based upon the relative percentage of time utilized by RSL and RSI employees on Company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RSL common share awards are valued at fair value on the date of grant and that fair value is recognized over the requisite service period. Significant judgment and estimates were used to estimate the fair value of these awards, as they are not publicly traded. RSL common share awards are subject to specified vesting schedules and requirements (a mix of time-based, performance-based and corporate event-based, including targets for RSL’s post-IPO market capitalization and future financing events). The Company estimated the fair value of each RSL option on the date of grant using the Black-Scholes closed-form option-pricing model.</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Compensation expense will be allocated to the Company over the required service period over which these RSL common share awards and RSL options would vest and is based upon the relative percentage of time utilized by RSI employees on Company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Measurements</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applies a fair value framework in order to measure and disclose its financial assets and liabilities. 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where available, and minimize the use of unobservable inputs when measuring fair value. There are three levels of inputs that may be used to measure fair value: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58"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b w:val="1"/>
          <w:bCs w:val="1"/>
          <w:color w:val="auto"/>
        </w:rPr>
        <w:t xml:space="preserve">Level 2 </w:t>
      </w:r>
      <w:r>
        <w:rPr>
          <w:rFonts w:ascii="Arial" w:cs="Arial" w:eastAsia="Arial" w:hAnsi="Arial"/>
          <w:sz w:val="15"/>
          <w:szCs w:val="15"/>
          <w:color w:val="auto"/>
        </w:rPr>
        <w:t>Observable inputs other than Level 1 prices, such as quoted prices for similar assets or liabilities; quoted prices in markets that are not active;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inputs that are observable or can be corroborated by observable market data for substantially the full term of the assets or liabilities. Fair values are determined by utilizing quoted prices for similar assets and liabilities in active markets or other market observable inputs such as interest rates and yield curves.</w:t>
      </w:r>
    </w:p>
    <w:p>
      <w:pPr>
        <w:spacing w:after="0" w:line="6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Level 3 assets and liabilities consist of the warrant liability associated with the license agreement with Takeda. The fair value of the warrant liability was determined based on a Monte Carlo simulation model which requires various highly subjective unobservable inputs. The significant unobservable inputs used in the fair value measurement are the probability of a future financing event; the expected date or dates of a future financing event; the potential size of a future financing event; the enterprise value of the Company; and the expected volatility in the Company’s valuation.</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Financial 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Company’s assets and liabilities that are measured at fair value on a recurring basis at March 31, 2016 and June 30, 2016, by level, within the fair value hierarchy: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As of March 31,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As of June 30, 2016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5"/>
              </w:rPr>
              <w:t>Quoted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9"/>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2"/>
              </w:rPr>
              <w:t>Prices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5"/>
              </w:rPr>
              <w:t>Active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5"/>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Markets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0"/>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6"/>
              </w:rPr>
              <w:t>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Identical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Balance as</w:t>
            </w: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Assets (Level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June 30,</w:t>
            </w:r>
          </w:p>
        </w:tc>
      </w:tr>
      <w:tr>
        <w:trPr>
          <w:trHeight w:val="161"/>
        </w:trPr>
        <w:tc>
          <w:tcPr>
            <w:tcW w:w="2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96"/>
              </w:rPr>
              <w:t>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(Level 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7"/>
              </w:rPr>
              <w:t>(Level 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6,975,000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6,975,000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6,975,000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6,975,000</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were no transfers of assets between Level 1 and Level 2 of the fair value measurement hierarchy that occurred during the three months ended June 30, 2016.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3 Disclosures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measures the warrant liability at fair value based on significant inputs not observable in the market, which causes it to be classified as a Level 3 measurement within the fair value hierarchy. The valuation of the warrant liability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warrant liability related to updated assumptions and estimates are recognized as other expenses in the accompanying condensed consolidated statements of operations.</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warrant liability may change significantly as additional data is obtained, impacting the Company’s assumptions regarding probabilities of successful financing events used to estimate the fair value of the liability. In evaluating this information, considerable judgment is required to interpret the data used to develop the assumptions and estimates. The estimates of fair value may not be indicative of the amounts that could be realized in a financing event.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warrant liability as of June 30, 2016 was calculated using the following significant unobservable inputs: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Input</w:t>
            </w:r>
          </w:p>
        </w:tc>
        <w:tc>
          <w:tcPr>
            <w:tcW w:w="39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b w:val="1"/>
                <w:bCs w:val="1"/>
                <w:color w:val="auto"/>
              </w:rPr>
              <w:t>Range or Point Estimate Used</w:t>
            </w: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Projected time frame to an equity financing</w:t>
            </w:r>
          </w:p>
        </w:tc>
        <w:tc>
          <w:tcPr>
            <w:tcW w:w="494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Oct. 2016 – Oct. 2017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Probability of a successful equity financing</w:t>
            </w: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equity volatility</w:t>
            </w:r>
          </w:p>
        </w:tc>
        <w:tc>
          <w:tcPr>
            <w:tcW w:w="7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 - 81.9%</w:t>
            </w:r>
          </w:p>
        </w:tc>
        <w:tc>
          <w:tcPr>
            <w:tcW w:w="120" w:type="dxa"/>
            <w:vAlign w:val="bottom"/>
            <w:shd w:val="clear" w:color="auto" w:fill="CCEEFF"/>
          </w:tcPr>
          <w:p>
            <w:pPr>
              <w:spacing w:after="0"/>
              <w:rPr>
                <w:sz w:val="18"/>
                <w:szCs w:val="18"/>
                <w:color w:val="auto"/>
              </w:rPr>
            </w:pP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0" w:type="dxa"/>
            <w:vAlign w:val="bottom"/>
            <w:gridSpan w:val="2"/>
          </w:tcPr>
          <w:p>
            <w:pPr>
              <w:jc w:val="right"/>
              <w:spacing w:after="0"/>
              <w:rPr>
                <w:sz w:val="20"/>
                <w:szCs w:val="20"/>
                <w:color w:val="auto"/>
              </w:rPr>
            </w:pPr>
            <w:r>
              <w:rPr>
                <w:rFonts w:ascii="Arial" w:cs="Arial" w:eastAsia="Arial" w:hAnsi="Arial"/>
                <w:sz w:val="18"/>
                <w:szCs w:val="18"/>
                <w:color w:val="auto"/>
              </w:rPr>
              <w:t>0.29% - 0.45%</w:t>
            </w:r>
          </w:p>
        </w:tc>
        <w:tc>
          <w:tcPr>
            <w:tcW w:w="120" w:type="dxa"/>
            <w:vAlign w:val="bottom"/>
          </w:tcPr>
          <w:p>
            <w:pPr>
              <w:spacing w:after="0"/>
              <w:rPr>
                <w:sz w:val="19"/>
                <w:szCs w:val="19"/>
                <w:color w:val="auto"/>
              </w:rPr>
            </w:pPr>
          </w:p>
        </w:tc>
      </w:tr>
      <w:tr>
        <w:trPr>
          <w:trHeight w:val="356"/>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120" w:type="dxa"/>
            <w:vAlign w:val="bottom"/>
            <w:gridSpan w:val="3"/>
          </w:tcPr>
          <w:p>
            <w:pPr>
              <w:ind w:left="1240"/>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60" w:type="dxa"/>
            <w:vAlign w:val="bottom"/>
          </w:tcPr>
          <w:p>
            <w:pPr>
              <w:ind w:left="440"/>
              <w:spacing w:after="0"/>
              <w:rPr>
                <w:sz w:val="20"/>
                <w:szCs w:val="20"/>
                <w:color w:val="auto"/>
              </w:rPr>
            </w:pPr>
            <w:r>
              <w:rPr>
                <w:rFonts w:ascii="Arial" w:cs="Arial" w:eastAsia="Arial" w:hAnsi="Arial"/>
                <w:sz w:val="18"/>
                <w:szCs w:val="18"/>
                <w:color w:val="auto"/>
                <w:w w:val="92"/>
              </w:rPr>
              <w:t>The changes in fair value of the Company’s Level 3 warrant liability during the three months ended June 30, 2016 were as follows: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Fair value of the warrant liability issued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5,377,000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the fair value of the warrant liability, included in net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1,832,543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Settlements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three months ended June 30, 2016, changes in the carrying value of the warrant liability resulted from changes in the fair value of the warrant liability primarily due to changes in the estimated probabilities of future financing events, change in the enterprise value of the Company, automatic exercise of the warrant, and the passage of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entered into certain commitments under the Takeda license agreement (See Note 3), and a services agreement with RSI (See Note 10). As of March 31, 2016 and June 30, 2016, the Company did not have any ongoing material financial commitments. The Company expects to enter into other commitments as the business further develops.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July 2016, the Company entered into a formal services agreement with RSI (the “Services Agreement”) effective April 29, 2016, under which RSI agreed to provide certain administrative and research and development services to the Company during the formative period of the Company. Under the Services Agreement, the Company will pay or reimburse RSI for any expenses it, or third parties acting on its behalf, incurs for the Company. For any general and administrative and research and development activities performed by RSI employees, RSI will charge back the employee compensation expense plus a pre-determined markup. RSI also provided such services prior to the formalization of the Services Agreement, and such costs have been recognized by the Company in the period in which the services were rendered (See Note 4). Employee compensation expense, inclusive of base salary and fringe benefits, is determined based upon the relative percentage of time utilized on Company matters. All other costs will be billed back at cost.</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2016, (1) the Company granted options to purchase 602,743 common shares to certain employees and consultants of the Company, with an exercise price of $2.38 under the 2016 plan and (2) the Company issued 82,194 common shares to Takeda upon the automatic exercise of the warrant, which was initiated by the grant of options to purchase 602,743 common shares.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September 2016, (1) the Company granted options to purchase 572,568 common shares to certain employees and directors of the Company, with a weighted-average exercise price of $4.00 under the 2016 plan and (2) the Company issued 78,079 common shares to Takeda upon the automatic exercise of the warrant, which was initiated by the grant of options to purchase 572,568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11—Reverse Common Stock Split</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October 18, 2016, the Company’s board of directors approved a 1-for-1.7727 reverse stock split of the Company’s outstanding common shares. The reverse split became effective on October 18, 2016. The accompanying consolidated financial statements and notes to the consolidated financial statements give retroactive effect to the reverse stock split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14,500,000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118110</wp:posOffset>
            </wp:positionV>
            <wp:extent cx="1912620" cy="4800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126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161290</wp:posOffset>
            </wp:positionV>
            <wp:extent cx="7289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October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Citigroup</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Cowen and Company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Evercore ISI</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Barclays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JMP Securities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Baird</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and including November 20, 2016 (25 days after the date of this prospectus), all dealers that buy, sell or trade our common shares,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20"/>
      </w:cols>
      <w:pgMar w:left="240" w:top="4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1"/>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1)"/>
      <w:numFmt w:val="decimal"/>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1."/>
      <w:numFmt w:val="decimal"/>
      <w:start w:val="602"/>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lvl w:ilvl="1">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4"/>
    </w:lvl>
  </w:abstractNum>
  <w:abstractNum w:abstractNumId="48">
    <w:nsid w:val="4962813B"/>
    <w:multiLevelType w:val="hybridMultilevel"/>
    <w:lvl w:ilvl="0">
      <w:lvlJc w:val="left"/>
      <w:lvlText w:val="1"/>
      <w:numFmt w:val="bullet"/>
      <w:start w:val="1"/>
    </w:lvl>
  </w:abstractNum>
  <w:abstractNum w:abstractNumId="49">
    <w:nsid w:val="60B6DF70"/>
    <w:multiLevelType w:val="hybridMultilevel"/>
    <w:lvl w:ilvl="0">
      <w:lvlJc w:val="left"/>
      <w:lvlText w:val="2"/>
      <w:numFmt w:val="bullet"/>
      <w:start w:val="1"/>
    </w:lvl>
  </w:abstractNum>
  <w:abstractNum w:abstractNumId="50">
    <w:nsid w:val="6A5EE64"/>
    <w:multiLevelType w:val="hybridMultilevel"/>
    <w:lvl w:ilvl="0">
      <w:lvlJc w:val="left"/>
      <w:lvlText w:val="3"/>
      <w:numFmt w:val="bullet"/>
      <w:start w:val="1"/>
    </w:lvl>
  </w:abstractNum>
  <w:abstractNum w:abstractNumId="51">
    <w:nsid w:val="14330624"/>
    <w:multiLevelType w:val="hybridMultilevel"/>
    <w:lvl w:ilvl="0">
      <w:lvlJc w:val="left"/>
      <w:lvlText w:val="4"/>
      <w:numFmt w:val="bullet"/>
      <w:start w:val="1"/>
    </w:lvl>
  </w:abstractNum>
  <w:abstractNum w:abstractNumId="52">
    <w:nsid w:val="7FFFCA11"/>
    <w:multiLevelType w:val="hybridMultilevel"/>
    <w:lvl w:ilvl="0">
      <w:lvlJc w:val="left"/>
      <w:lvlText w:val="5"/>
      <w:numFmt w:val="bullet"/>
      <w:start w:val="1"/>
    </w:lvl>
  </w:abstractNum>
  <w:abstractNum w:abstractNumId="53">
    <w:nsid w:val="1A27709E"/>
    <w:multiLevelType w:val="hybridMultilevel"/>
    <w:lvl w:ilvl="0">
      <w:lvlJc w:val="left"/>
      <w:lvlText w:val="1"/>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385"/>
    </w:lvl>
  </w:abstractNum>
  <w:abstractNum w:abstractNumId="59">
    <w:nsid w:val="94211F2"/>
    <w:multiLevelType w:val="hybridMultilevel"/>
    <w:lvl w:ilvl="0">
      <w:lvlJc w:val="left"/>
      <w:lvlText w:val="1"/>
      <w:numFmt w:val="bullet"/>
      <w:start w:val="1"/>
    </w:lvl>
  </w:abstractNum>
  <w:abstractNum w:abstractNumId="60">
    <w:nsid w:val="885E1B"/>
    <w:multiLevelType w:val="hybridMultilevel"/>
    <w:lvl w:ilvl="0">
      <w:lvlJc w:val="left"/>
      <w:lvlText w:val="2"/>
      <w:numFmt w:val="bullet"/>
      <w:start w:val="1"/>
    </w:lvl>
  </w:abstractNum>
  <w:abstractNum w:abstractNumId="61">
    <w:nsid w:val="76272110"/>
    <w:multiLevelType w:val="hybridMultilevel"/>
    <w:lvl w:ilvl="0">
      <w:lvlJc w:val="left"/>
      <w:lvlText w:val="1"/>
      <w:numFmt w:val="bullet"/>
      <w:start w:val="1"/>
    </w:lvl>
  </w:abstractNum>
  <w:abstractNum w:abstractNumId="62">
    <w:nsid w:val="4C04A8AF"/>
    <w:multiLevelType w:val="hybridMultilevel"/>
    <w:lvl w:ilvl="0">
      <w:lvlJc w:val="left"/>
      <w:lvlText w:val="%1."/>
      <w:numFmt w:val="decimal"/>
      <w:start w:val="602"/>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1)"/>
      <w:numFmt w:val="decimal"/>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2"/>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lvl w:ilvl="1">
      <w:lvlJc w:val="left"/>
      <w:lvlText w:val="•"/>
      <w:numFmt w:val="bullet"/>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
      <w:numFmt w:val="bullet"/>
      <w:start w:val="1"/>
    </w:lvl>
    <w:lvl w:ilvl="1">
      <w:lvlJc w:val="left"/>
      <w:lvlText w:val="•"/>
      <w:numFmt w:val="bullet"/>
      <w:start w:val="1"/>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
      <w:numFmt w:val="bullet"/>
      <w:start w:val="1"/>
    </w:lvl>
    <w:lvl w:ilvl="1">
      <w:lvlJc w:val="left"/>
      <w:lvlText w:val="•"/>
      <w:numFmt w:val="bullet"/>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2019-12-09T03:38:30Z</dcterms:created>
  <dcterms:modified xsi:type="dcterms:W3CDTF">2019-12-09T03:38:30Z</dcterms:modified>
</cp:coreProperties>
</file>