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137160" cy="185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85420"/>
                    </a:xfrm>
                    <a:prstGeom prst="rect">
                      <a:avLst/>
                    </a:prstGeom>
                    <a:noFill/>
                  </pic:spPr>
                </pic:pic>
              </a:graphicData>
            </a:graphic>
          </wp:anchor>
        </w:drawing>
      </w:r>
    </w:p>
    <w:p>
      <w:pPr>
        <w:jc w:val="both"/>
        <w:ind w:left="320" w:right="340" w:hanging="244"/>
        <w:spacing w:after="0" w:line="180" w:lineRule="auto"/>
        <w:tabs>
          <w:tab w:leader="none" w:pos="32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679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6796405"/>
                    </a:xfrm>
                    <a:prstGeom prst="rect">
                      <a:avLst/>
                    </a:prstGeom>
                    <a:noFill/>
                  </pic:spPr>
                </pic:pic>
              </a:graphicData>
            </a:graphic>
          </wp:anchor>
        </w:drawing>
      </w:r>
    </w:p>
    <w:p>
      <w:pPr>
        <w:spacing w:after="0" w:line="37" w:lineRule="exact"/>
        <w:rPr>
          <w:sz w:val="24"/>
          <w:szCs w:val="24"/>
          <w:color w:val="auto"/>
        </w:rPr>
      </w:pPr>
    </w:p>
    <w:p>
      <w:pPr>
        <w:sectPr>
          <w:pgSz w:w="11900" w:h="16849" w:orient="portrait"/>
          <w:cols w:equalWidth="0" w:num="2">
            <w:col w:w="2180" w:space="440"/>
            <w:col w:w="846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Arial" w:cs="Arial" w:eastAsia="Arial" w:hAnsi="Arial"/>
                <w:sz w:val="20"/>
                <w:szCs w:val="20"/>
                <w:color w:val="0000EE"/>
                <w:w w:val="95"/>
              </w:rPr>
            </w:pPr>
            <w:hyperlink r:id="rId12">
              <w:r>
                <w:rPr>
                  <w:rFonts w:ascii="Arial" w:cs="Arial" w:eastAsia="Arial" w:hAnsi="Arial"/>
                  <w:sz w:val="20"/>
                  <w:szCs w:val="20"/>
                  <w:color w:val="0000EE"/>
                  <w:w w:val="95"/>
                </w:rPr>
                <w:t>Arjona Ferreira Juan Camilo</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7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Myovant Sciences Ltd.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MYOV</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6"/>
                <w:szCs w:val="16"/>
                <w:color w:val="0000FF"/>
                <w:w w:val="99"/>
              </w:rPr>
              <w:t>C/O MYOVANT SCIENCES, INC.</w:t>
            </w:r>
          </w:p>
        </w:tc>
        <w:tc>
          <w:tcPr>
            <w:tcW w:w="1240" w:type="dxa"/>
            <w:vAlign w:val="bottom"/>
          </w:tcPr>
          <w:p>
            <w:pPr>
              <w:spacing w:after="0"/>
              <w:rPr>
                <w:sz w:val="18"/>
                <w:szCs w:val="18"/>
                <w:color w:val="auto"/>
              </w:rPr>
            </w:pPr>
          </w:p>
        </w:tc>
        <w:tc>
          <w:tcPr>
            <w:tcW w:w="2020" w:type="dxa"/>
            <w:vAlign w:val="bottom"/>
            <w:gridSpan w:val="3"/>
          </w:tcPr>
          <w:p>
            <w:pPr>
              <w:ind w:left="140"/>
              <w:spacing w:after="0"/>
              <w:rPr>
                <w:sz w:val="20"/>
                <w:szCs w:val="20"/>
                <w:color w:val="auto"/>
              </w:rPr>
            </w:pPr>
            <w:r>
              <w:rPr>
                <w:rFonts w:ascii="Arial" w:cs="Arial" w:eastAsia="Arial" w:hAnsi="Arial"/>
                <w:sz w:val="16"/>
                <w:szCs w:val="16"/>
                <w:color w:val="0000FF"/>
              </w:rPr>
              <w:t>03/10/2023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SIERRA POINT PARKWAY, 9TH FLOOR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680"/>
        <w:spacing w:after="0" w:line="233"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860"/>
        <w:spacing w:after="0"/>
        <w:rPr>
          <w:sz w:val="20"/>
          <w:szCs w:val="20"/>
          <w:color w:val="auto"/>
        </w:rPr>
      </w:pPr>
      <w:r>
        <w:rPr>
          <w:rFonts w:ascii="Arial" w:cs="Arial" w:eastAsia="Arial" w:hAnsi="Arial"/>
          <w:sz w:val="16"/>
          <w:szCs w:val="16"/>
          <w:color w:val="0000FF"/>
        </w:rPr>
        <w:t>Chief Medical Officer</w:t>
      </w:r>
    </w:p>
    <w:p>
      <w:pPr>
        <w:spacing w:after="0" w:line="379" w:lineRule="exact"/>
        <w:rPr>
          <w:sz w:val="20"/>
          <w:szCs w:val="20"/>
          <w:color w:val="auto"/>
        </w:rPr>
      </w:pPr>
    </w:p>
    <w:p>
      <w:pPr>
        <w:sectPr>
          <w:pgSz w:w="11900" w:h="16849" w:orient="portrait"/>
          <w:cols w:equalWidth="0" w:num="2">
            <w:col w:w="7680" w:space="60"/>
            <w:col w:w="3340"/>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ind w:left="14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9"/>
          </w:tcPr>
          <w:p>
            <w:pPr>
              <w:ind w:left="30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9"/>
            <w:vMerge w:val="restart"/>
          </w:tcPr>
          <w:p>
            <w:pPr>
              <w:ind w:left="5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BRISBANE</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0000FF"/>
                <w:w w:val="98"/>
              </w:rPr>
              <w:t>CA</w:t>
            </w:r>
          </w:p>
        </w:tc>
        <w:tc>
          <w:tcPr>
            <w:tcW w:w="98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Arial" w:cs="Arial" w:eastAsia="Arial" w:hAnsi="Arial"/>
                <w:sz w:val="16"/>
                <w:szCs w:val="16"/>
                <w:color w:val="0000FF"/>
              </w:rPr>
              <w:t>94005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180" w:type="dxa"/>
            <w:vAlign w:val="bottom"/>
            <w:tcBorders>
              <w:top w:val="single" w:sz="8" w:color="2C2C2C"/>
            </w:tcBorders>
            <w:gridSpan w:val="13"/>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6"/>
                <w:szCs w:val="16"/>
                <w:color w:val="0000FF"/>
              </w:rPr>
              <w:t>03/10/2023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5"/>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86,602</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0"/>
                <w:szCs w:val="10"/>
                <w:color w:val="008000"/>
              </w:rPr>
              <w:t>(2)</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160,082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6"/>
                <w:szCs w:val="16"/>
                <w:color w:val="0000FF"/>
              </w:rPr>
              <w:t>03/10/2023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5"/>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76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160,082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0"/>
                <w:szCs w:val="10"/>
                <w:color w:val="008000"/>
              </w:rPr>
              <w:t>(3)</w:t>
            </w:r>
          </w:p>
        </w:tc>
        <w:tc>
          <w:tcPr>
            <w:tcW w:w="72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540" w:type="dxa"/>
            <w:vAlign w:val="bottom"/>
          </w:tcPr>
          <w:p>
            <w:pPr>
              <w:jc w:val="center"/>
              <w:ind w:left="20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7.78</w:t>
            </w:r>
          </w:p>
        </w:tc>
        <w:tc>
          <w:tcPr>
            <w:tcW w:w="2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6"/>
              </w:rPr>
              <w:t>03/10/2023</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20"/>
              <w:spacing w:after="0" w:line="198"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10"/>
                <w:szCs w:val="10"/>
                <w:color w:val="008000"/>
              </w:rPr>
              <w:t>(1)</w:t>
            </w:r>
          </w:p>
        </w:tc>
        <w:tc>
          <w:tcPr>
            <w:tcW w:w="960" w:type="dxa"/>
            <w:vAlign w:val="bottom"/>
          </w:tcPr>
          <w:p>
            <w:pPr>
              <w:jc w:val="center"/>
              <w:ind w:left="221"/>
              <w:spacing w:after="0"/>
              <w:rPr>
                <w:sz w:val="20"/>
                <w:szCs w:val="20"/>
                <w:color w:val="auto"/>
              </w:rPr>
            </w:pPr>
            <w:r>
              <w:rPr>
                <w:rFonts w:ascii="Arial" w:cs="Arial" w:eastAsia="Arial" w:hAnsi="Arial"/>
                <w:sz w:val="13"/>
                <w:szCs w:val="13"/>
                <w:color w:val="0000FF"/>
                <w:w w:val="85"/>
              </w:rPr>
              <w:t>155,300</w:t>
            </w:r>
          </w:p>
        </w:tc>
        <w:tc>
          <w:tcPr>
            <w:tcW w:w="760" w:type="dxa"/>
            <w:vAlign w:val="bottom"/>
            <w:gridSpan w:val="2"/>
          </w:tcPr>
          <w:p>
            <w:pPr>
              <w:jc w:val="right"/>
              <w:ind w:right="325"/>
              <w:spacing w:after="0"/>
              <w:rPr>
                <w:sz w:val="20"/>
                <w:szCs w:val="20"/>
                <w:color w:val="auto"/>
              </w:rPr>
            </w:pPr>
            <w:r>
              <w:rPr>
                <w:rFonts w:ascii="Arial" w:cs="Arial" w:eastAsia="Arial" w:hAnsi="Arial"/>
                <w:sz w:val="10"/>
                <w:szCs w:val="10"/>
                <w:color w:val="008000"/>
              </w:rPr>
              <w:t>(4)</w:t>
            </w:r>
          </w:p>
        </w:tc>
        <w:tc>
          <w:tcPr>
            <w:tcW w:w="700" w:type="dxa"/>
            <w:vAlign w:val="bottom"/>
          </w:tcPr>
          <w:p>
            <w:pPr>
              <w:jc w:val="center"/>
              <w:ind w:right="57"/>
              <w:spacing w:after="0"/>
              <w:rPr>
                <w:sz w:val="20"/>
                <w:szCs w:val="20"/>
                <w:color w:val="auto"/>
              </w:rPr>
            </w:pPr>
            <w:r>
              <w:rPr>
                <w:rFonts w:ascii="Arial" w:cs="Arial" w:eastAsia="Arial" w:hAnsi="Arial"/>
                <w:sz w:val="13"/>
                <w:szCs w:val="13"/>
                <w:color w:val="0000FF"/>
                <w:w w:val="89"/>
              </w:rPr>
              <w:t>08/14/2027</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93"/>
              </w:rPr>
              <w:t>155,300</w:t>
            </w:r>
          </w:p>
        </w:tc>
        <w:tc>
          <w:tcPr>
            <w:tcW w:w="720" w:type="dxa"/>
            <w:vAlign w:val="bottom"/>
            <w:gridSpan w:val="2"/>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2"/>
          </w:tcPr>
          <w:p>
            <w:pPr>
              <w:ind w:left="60"/>
              <w:spacing w:after="0" w:line="80" w:lineRule="exact"/>
              <w:rPr>
                <w:sz w:val="20"/>
                <w:szCs w:val="20"/>
                <w:color w:val="auto"/>
              </w:rPr>
            </w:pPr>
            <w:r>
              <w:rPr>
                <w:rFonts w:ascii="Arial" w:cs="Arial" w:eastAsia="Arial" w:hAnsi="Arial"/>
                <w:sz w:val="9"/>
                <w:szCs w:val="9"/>
                <w:color w:val="0000FF"/>
              </w:rPr>
              <w:t>(Right to</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ind w:left="20"/>
              <w:spacing w:after="0" w:line="80" w:lineRule="exact"/>
              <w:rPr>
                <w:sz w:val="20"/>
                <w:szCs w:val="20"/>
                <w:color w:val="auto"/>
              </w:rPr>
            </w:pPr>
            <w:r>
              <w:rPr>
                <w:rFonts w:ascii="Arial" w:cs="Arial" w:eastAsia="Arial" w:hAnsi="Arial"/>
                <w:sz w:val="9"/>
                <w:szCs w:val="9"/>
                <w:color w:val="0000FF"/>
              </w:rPr>
              <w:t>Shares</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Options</w:t>
            </w:r>
          </w:p>
        </w:tc>
        <w:tc>
          <w:tcPr>
            <w:tcW w:w="540" w:type="dxa"/>
            <w:vAlign w:val="bottom"/>
            <w:vMerge w:val="restart"/>
          </w:tcPr>
          <w:p>
            <w:pPr>
              <w:jc w:val="center"/>
              <w:ind w:left="20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7.78</w:t>
            </w:r>
          </w:p>
        </w:tc>
        <w:tc>
          <w:tcPr>
            <w:tcW w:w="2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00FF"/>
                <w:w w:val="86"/>
              </w:rPr>
              <w:t>03/10/2023</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20"/>
              <w:spacing w:after="0" w:line="260"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960" w:type="dxa"/>
            <w:vAlign w:val="bottom"/>
            <w:vMerge w:val="restart"/>
          </w:tcPr>
          <w:p>
            <w:pPr>
              <w:jc w:val="center"/>
              <w:ind w:left="241"/>
              <w:spacing w:after="0"/>
              <w:rPr>
                <w:sz w:val="20"/>
                <w:szCs w:val="20"/>
                <w:color w:val="auto"/>
              </w:rPr>
            </w:pPr>
            <w:r>
              <w:rPr>
                <w:rFonts w:ascii="Arial" w:cs="Arial" w:eastAsia="Arial" w:hAnsi="Arial"/>
                <w:sz w:val="13"/>
                <w:szCs w:val="13"/>
                <w:color w:val="0000FF"/>
                <w:w w:val="85"/>
              </w:rPr>
              <w:t>63,717</w:t>
            </w:r>
          </w:p>
        </w:tc>
        <w:tc>
          <w:tcPr>
            <w:tcW w:w="760" w:type="dxa"/>
            <w:vAlign w:val="bottom"/>
            <w:gridSpan w:val="2"/>
            <w:vMerge w:val="restart"/>
          </w:tcPr>
          <w:p>
            <w:pPr>
              <w:jc w:val="right"/>
              <w:ind w:right="325"/>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jc w:val="center"/>
              <w:ind w:right="57"/>
              <w:spacing w:after="0"/>
              <w:rPr>
                <w:sz w:val="20"/>
                <w:szCs w:val="20"/>
                <w:color w:val="auto"/>
              </w:rPr>
            </w:pPr>
            <w:r>
              <w:rPr>
                <w:rFonts w:ascii="Arial" w:cs="Arial" w:eastAsia="Arial" w:hAnsi="Arial"/>
                <w:sz w:val="13"/>
                <w:szCs w:val="13"/>
                <w:color w:val="0000FF"/>
                <w:w w:val="89"/>
              </w:rPr>
              <w:t>04/15/2028</w:t>
            </w:r>
          </w:p>
        </w:tc>
        <w:tc>
          <w:tcPr>
            <w:tcW w:w="62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63,717</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(Right to</w:t>
            </w: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rPr>
              <w:t>Shares</w:t>
            </w: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Options</w:t>
            </w:r>
          </w:p>
        </w:tc>
        <w:tc>
          <w:tcPr>
            <w:tcW w:w="540" w:type="dxa"/>
            <w:vAlign w:val="bottom"/>
            <w:vMerge w:val="restart"/>
          </w:tcPr>
          <w:p>
            <w:pPr>
              <w:jc w:val="center"/>
              <w:ind w:left="20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7.78</w:t>
            </w:r>
          </w:p>
        </w:tc>
        <w:tc>
          <w:tcPr>
            <w:tcW w:w="2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00FF"/>
                <w:w w:val="86"/>
              </w:rPr>
              <w:t>03/10/2023</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20"/>
              <w:spacing w:after="0" w:line="260"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960" w:type="dxa"/>
            <w:vAlign w:val="bottom"/>
            <w:vMerge w:val="restart"/>
          </w:tcPr>
          <w:p>
            <w:pPr>
              <w:jc w:val="center"/>
              <w:ind w:left="241"/>
              <w:spacing w:after="0"/>
              <w:rPr>
                <w:sz w:val="20"/>
                <w:szCs w:val="20"/>
                <w:color w:val="auto"/>
              </w:rPr>
            </w:pPr>
            <w:r>
              <w:rPr>
                <w:rFonts w:ascii="Arial" w:cs="Arial" w:eastAsia="Arial" w:hAnsi="Arial"/>
                <w:sz w:val="13"/>
                <w:szCs w:val="13"/>
                <w:color w:val="0000FF"/>
                <w:w w:val="85"/>
              </w:rPr>
              <w:t>65,863</w:t>
            </w:r>
          </w:p>
        </w:tc>
        <w:tc>
          <w:tcPr>
            <w:tcW w:w="760" w:type="dxa"/>
            <w:vAlign w:val="bottom"/>
            <w:gridSpan w:val="2"/>
            <w:vMerge w:val="restart"/>
          </w:tcPr>
          <w:p>
            <w:pPr>
              <w:jc w:val="right"/>
              <w:ind w:right="325"/>
              <w:spacing w:after="0"/>
              <w:rPr>
                <w:sz w:val="20"/>
                <w:szCs w:val="20"/>
                <w:color w:val="auto"/>
              </w:rPr>
            </w:pPr>
            <w:r>
              <w:rPr>
                <w:rFonts w:ascii="Arial" w:cs="Arial" w:eastAsia="Arial" w:hAnsi="Arial"/>
                <w:sz w:val="10"/>
                <w:szCs w:val="10"/>
                <w:color w:val="008000"/>
              </w:rPr>
              <w:t>(6)</w:t>
            </w:r>
          </w:p>
        </w:tc>
        <w:tc>
          <w:tcPr>
            <w:tcW w:w="700" w:type="dxa"/>
            <w:vAlign w:val="bottom"/>
            <w:vMerge w:val="restart"/>
          </w:tcPr>
          <w:p>
            <w:pPr>
              <w:jc w:val="center"/>
              <w:ind w:right="57"/>
              <w:spacing w:after="0"/>
              <w:rPr>
                <w:sz w:val="20"/>
                <w:szCs w:val="20"/>
                <w:color w:val="auto"/>
              </w:rPr>
            </w:pPr>
            <w:r>
              <w:rPr>
                <w:rFonts w:ascii="Arial" w:cs="Arial" w:eastAsia="Arial" w:hAnsi="Arial"/>
                <w:sz w:val="13"/>
                <w:szCs w:val="13"/>
                <w:color w:val="0000FF"/>
                <w:w w:val="89"/>
              </w:rPr>
              <w:t>04/04/2029</w:t>
            </w:r>
          </w:p>
        </w:tc>
        <w:tc>
          <w:tcPr>
            <w:tcW w:w="62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65,863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(Right to</w:t>
            </w: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rPr>
              <w:t>Shares</w:t>
            </w: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540" w:type="dxa"/>
            <w:vAlign w:val="bottom"/>
          </w:tcPr>
          <w:p>
            <w:pPr>
              <w:jc w:val="center"/>
              <w:ind w:left="20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8.08</w:t>
            </w:r>
          </w:p>
        </w:tc>
        <w:tc>
          <w:tcPr>
            <w:tcW w:w="2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6"/>
              </w:rPr>
              <w:t>03/10/2023</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20"/>
              <w:spacing w:after="0" w:line="198"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10"/>
                <w:szCs w:val="10"/>
                <w:color w:val="008000"/>
              </w:rPr>
              <w:t>(1)</w:t>
            </w:r>
          </w:p>
        </w:tc>
        <w:tc>
          <w:tcPr>
            <w:tcW w:w="960" w:type="dxa"/>
            <w:vAlign w:val="bottom"/>
          </w:tcPr>
          <w:p>
            <w:pPr>
              <w:jc w:val="center"/>
              <w:ind w:left="221"/>
              <w:spacing w:after="0"/>
              <w:rPr>
                <w:sz w:val="20"/>
                <w:szCs w:val="20"/>
                <w:color w:val="auto"/>
              </w:rPr>
            </w:pPr>
            <w:r>
              <w:rPr>
                <w:rFonts w:ascii="Arial" w:cs="Arial" w:eastAsia="Arial" w:hAnsi="Arial"/>
                <w:sz w:val="13"/>
                <w:szCs w:val="13"/>
                <w:color w:val="0000FF"/>
                <w:w w:val="85"/>
              </w:rPr>
              <w:t>134,464</w:t>
            </w:r>
          </w:p>
        </w:tc>
        <w:tc>
          <w:tcPr>
            <w:tcW w:w="760" w:type="dxa"/>
            <w:vAlign w:val="bottom"/>
            <w:gridSpan w:val="2"/>
          </w:tcPr>
          <w:p>
            <w:pPr>
              <w:jc w:val="right"/>
              <w:ind w:right="325"/>
              <w:spacing w:after="0"/>
              <w:rPr>
                <w:sz w:val="20"/>
                <w:szCs w:val="20"/>
                <w:color w:val="auto"/>
              </w:rPr>
            </w:pPr>
            <w:r>
              <w:rPr>
                <w:rFonts w:ascii="Arial" w:cs="Arial" w:eastAsia="Arial" w:hAnsi="Arial"/>
                <w:sz w:val="10"/>
                <w:szCs w:val="10"/>
                <w:color w:val="008000"/>
              </w:rPr>
              <w:t>(7)</w:t>
            </w:r>
          </w:p>
        </w:tc>
        <w:tc>
          <w:tcPr>
            <w:tcW w:w="700" w:type="dxa"/>
            <w:vAlign w:val="bottom"/>
          </w:tcPr>
          <w:p>
            <w:pPr>
              <w:jc w:val="center"/>
              <w:ind w:right="57"/>
              <w:spacing w:after="0"/>
              <w:rPr>
                <w:sz w:val="20"/>
                <w:szCs w:val="20"/>
                <w:color w:val="auto"/>
              </w:rPr>
            </w:pPr>
            <w:r>
              <w:rPr>
                <w:rFonts w:ascii="Arial" w:cs="Arial" w:eastAsia="Arial" w:hAnsi="Arial"/>
                <w:sz w:val="13"/>
                <w:szCs w:val="13"/>
                <w:color w:val="0000FF"/>
                <w:w w:val="89"/>
              </w:rPr>
              <w:t>04/02/2030</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93"/>
              </w:rPr>
              <w:t>134,464</w:t>
            </w:r>
          </w:p>
        </w:tc>
        <w:tc>
          <w:tcPr>
            <w:tcW w:w="720" w:type="dxa"/>
            <w:vAlign w:val="bottom"/>
            <w:gridSpan w:val="2"/>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2"/>
          </w:tcPr>
          <w:p>
            <w:pPr>
              <w:ind w:left="60"/>
              <w:spacing w:after="0" w:line="80" w:lineRule="exact"/>
              <w:rPr>
                <w:sz w:val="20"/>
                <w:szCs w:val="20"/>
                <w:color w:val="auto"/>
              </w:rPr>
            </w:pPr>
            <w:r>
              <w:rPr>
                <w:rFonts w:ascii="Arial" w:cs="Arial" w:eastAsia="Arial" w:hAnsi="Arial"/>
                <w:sz w:val="9"/>
                <w:szCs w:val="9"/>
                <w:color w:val="0000FF"/>
              </w:rPr>
              <w:t>(Right to</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ind w:left="20"/>
              <w:spacing w:after="0" w:line="80" w:lineRule="exact"/>
              <w:rPr>
                <w:sz w:val="20"/>
                <w:szCs w:val="20"/>
                <w:color w:val="auto"/>
              </w:rPr>
            </w:pPr>
            <w:r>
              <w:rPr>
                <w:rFonts w:ascii="Arial" w:cs="Arial" w:eastAsia="Arial" w:hAnsi="Arial"/>
                <w:sz w:val="9"/>
                <w:szCs w:val="9"/>
                <w:color w:val="0000FF"/>
              </w:rPr>
              <w:t>Shares</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Options</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17.88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00FF"/>
                <w:w w:val="86"/>
              </w:rPr>
              <w:t>03/10/2023</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20"/>
              <w:spacing w:after="0" w:line="260"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960" w:type="dxa"/>
            <w:vAlign w:val="bottom"/>
            <w:vMerge w:val="restart"/>
          </w:tcPr>
          <w:p>
            <w:pPr>
              <w:jc w:val="center"/>
              <w:ind w:left="241"/>
              <w:spacing w:after="0"/>
              <w:rPr>
                <w:sz w:val="20"/>
                <w:szCs w:val="20"/>
                <w:color w:val="auto"/>
              </w:rPr>
            </w:pPr>
            <w:r>
              <w:rPr>
                <w:rFonts w:ascii="Arial" w:cs="Arial" w:eastAsia="Arial" w:hAnsi="Arial"/>
                <w:sz w:val="13"/>
                <w:szCs w:val="13"/>
                <w:color w:val="0000FF"/>
                <w:w w:val="85"/>
              </w:rPr>
              <w:t>79,472</w:t>
            </w:r>
          </w:p>
        </w:tc>
        <w:tc>
          <w:tcPr>
            <w:tcW w:w="760" w:type="dxa"/>
            <w:vAlign w:val="bottom"/>
            <w:gridSpan w:val="2"/>
            <w:vMerge w:val="restart"/>
          </w:tcPr>
          <w:p>
            <w:pPr>
              <w:jc w:val="right"/>
              <w:ind w:right="325"/>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jc w:val="center"/>
              <w:ind w:right="57"/>
              <w:spacing w:after="0"/>
              <w:rPr>
                <w:sz w:val="20"/>
                <w:szCs w:val="20"/>
                <w:color w:val="auto"/>
              </w:rPr>
            </w:pPr>
            <w:r>
              <w:rPr>
                <w:rFonts w:ascii="Arial" w:cs="Arial" w:eastAsia="Arial" w:hAnsi="Arial"/>
                <w:sz w:val="13"/>
                <w:szCs w:val="13"/>
                <w:color w:val="0000FF"/>
                <w:w w:val="89"/>
              </w:rPr>
              <w:t>04/14/2031</w:t>
            </w:r>
          </w:p>
        </w:tc>
        <w:tc>
          <w:tcPr>
            <w:tcW w:w="62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79,472</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(Right to</w:t>
            </w:r>
          </w:p>
        </w:tc>
        <w:tc>
          <w:tcPr>
            <w:tcW w:w="80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rPr>
              <w:t>Shares</w:t>
            </w: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w w:val="91"/>
              </w:rPr>
              <w:t>Performance</w:t>
            </w:r>
          </w:p>
        </w:tc>
        <w:tc>
          <w:tcPr>
            <w:tcW w:w="540" w:type="dxa"/>
            <w:vAlign w:val="bottom"/>
          </w:tcPr>
          <w:p>
            <w:pPr>
              <w:jc w:val="center"/>
              <w:ind w:left="204"/>
              <w:spacing w:after="0"/>
              <w:rPr>
                <w:sz w:val="20"/>
                <w:szCs w:val="20"/>
                <w:color w:val="auto"/>
              </w:rPr>
            </w:pPr>
            <w:r>
              <w:rPr>
                <w:rFonts w:ascii="Arial" w:cs="Arial" w:eastAsia="Arial" w:hAnsi="Arial"/>
                <w:sz w:val="10"/>
                <w:szCs w:val="10"/>
                <w:color w:val="008000"/>
                <w:w w:val="97"/>
              </w:rPr>
              <w:t>(9)</w:t>
            </w:r>
          </w:p>
        </w:tc>
        <w:tc>
          <w:tcPr>
            <w:tcW w:w="2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000FF"/>
                <w:w w:val="86"/>
              </w:rPr>
              <w:t>03/10/2023</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ind w:left="20"/>
              <w:spacing w:after="0" w:line="239"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960" w:type="dxa"/>
            <w:vAlign w:val="bottom"/>
          </w:tcPr>
          <w:p>
            <w:pPr>
              <w:jc w:val="center"/>
              <w:ind w:left="221"/>
              <w:spacing w:after="0"/>
              <w:rPr>
                <w:sz w:val="20"/>
                <w:szCs w:val="20"/>
                <w:color w:val="auto"/>
              </w:rPr>
            </w:pPr>
            <w:r>
              <w:rPr>
                <w:rFonts w:ascii="Arial" w:cs="Arial" w:eastAsia="Arial" w:hAnsi="Arial"/>
                <w:sz w:val="13"/>
                <w:szCs w:val="13"/>
                <w:color w:val="0000FF"/>
                <w:w w:val="85"/>
              </w:rPr>
              <w:t>103,703</w:t>
            </w:r>
          </w:p>
        </w:tc>
        <w:tc>
          <w:tcPr>
            <w:tcW w:w="760" w:type="dxa"/>
            <w:vAlign w:val="bottom"/>
            <w:gridSpan w:val="2"/>
          </w:tcPr>
          <w:p>
            <w:pPr>
              <w:jc w:val="right"/>
              <w:ind w:right="325"/>
              <w:spacing w:after="0"/>
              <w:rPr>
                <w:sz w:val="20"/>
                <w:szCs w:val="20"/>
                <w:color w:val="auto"/>
              </w:rPr>
            </w:pPr>
            <w:r>
              <w:rPr>
                <w:rFonts w:ascii="Arial" w:cs="Arial" w:eastAsia="Arial" w:hAnsi="Arial"/>
                <w:sz w:val="10"/>
                <w:szCs w:val="10"/>
                <w:color w:val="008000"/>
              </w:rPr>
              <w:t>(9)</w:t>
            </w:r>
          </w:p>
        </w:tc>
        <w:tc>
          <w:tcPr>
            <w:tcW w:w="700" w:type="dxa"/>
            <w:vAlign w:val="bottom"/>
          </w:tcPr>
          <w:p>
            <w:pPr>
              <w:jc w:val="center"/>
              <w:ind w:right="37"/>
              <w:spacing w:after="0"/>
              <w:rPr>
                <w:sz w:val="20"/>
                <w:szCs w:val="20"/>
                <w:color w:val="auto"/>
              </w:rPr>
            </w:pPr>
            <w:r>
              <w:rPr>
                <w:rFonts w:ascii="Arial" w:cs="Arial" w:eastAsia="Arial" w:hAnsi="Arial"/>
                <w:sz w:val="10"/>
                <w:szCs w:val="10"/>
                <w:color w:val="008000"/>
                <w:w w:val="97"/>
              </w:rPr>
              <w:t>(9)</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93"/>
              </w:rPr>
              <w:t>103,703</w:t>
            </w:r>
          </w:p>
        </w:tc>
        <w:tc>
          <w:tcPr>
            <w:tcW w:w="720" w:type="dxa"/>
            <w:vAlign w:val="bottom"/>
            <w:gridSpan w:val="2"/>
          </w:tcPr>
          <w:p>
            <w:pPr>
              <w:jc w:val="center"/>
              <w:spacing w:after="0"/>
              <w:rPr>
                <w:sz w:val="20"/>
                <w:szCs w:val="20"/>
                <w:color w:val="auto"/>
              </w:rPr>
            </w:pPr>
            <w:r>
              <w:rPr>
                <w:rFonts w:ascii="Arial" w:cs="Arial" w:eastAsia="Arial" w:hAnsi="Arial"/>
                <w:sz w:val="10"/>
                <w:szCs w:val="10"/>
                <w:color w:val="008000"/>
                <w:w w:val="97"/>
              </w:rPr>
              <w:t>(9)</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gridSpan w:val="2"/>
          </w:tcPr>
          <w:p>
            <w:pPr>
              <w:ind w:left="60"/>
              <w:spacing w:after="0" w:line="139" w:lineRule="exact"/>
              <w:rPr>
                <w:sz w:val="20"/>
                <w:szCs w:val="20"/>
                <w:color w:val="auto"/>
              </w:rPr>
            </w:pPr>
            <w:r>
              <w:rPr>
                <w:rFonts w:ascii="Arial" w:cs="Arial" w:eastAsia="Arial" w:hAnsi="Arial"/>
                <w:sz w:val="13"/>
                <w:szCs w:val="13"/>
                <w:color w:val="0000FF"/>
              </w:rPr>
              <w:t>Stock Unit</w:t>
            </w: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20"/>
              <w:spacing w:after="0" w:line="139" w:lineRule="exact"/>
              <w:rPr>
                <w:sz w:val="20"/>
                <w:szCs w:val="20"/>
                <w:color w:val="auto"/>
              </w:rPr>
            </w:pPr>
            <w:r>
              <w:rPr>
                <w:rFonts w:ascii="Arial" w:cs="Arial" w:eastAsia="Arial" w:hAnsi="Arial"/>
                <w:sz w:val="13"/>
                <w:szCs w:val="13"/>
                <w:color w:val="0000FF"/>
              </w:rPr>
              <w:t>Shares</w:t>
            </w: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-3797935</wp:posOffset>
            </wp:positionV>
            <wp:extent cx="28575" cy="380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0301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240" w:hanging="1"/>
        <w:spacing w:after="0" w:line="231" w:lineRule="auto"/>
        <w:tabs>
          <w:tab w:leader="none" w:pos="166"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March 10, 2023, Sumitovant Biopharma Ltd. ("Sumitovant") acquired all of the common shares of the Issuer not previously held by it pursuant to the terms of an Agreement and Plan of Merger, dated as of October 23, 2022 (the "Merger Agreement"), and a related Statutory Merger Agreement (the "Statutory Merger Agreement", and together with the Merger Agreement, the "Merger Agreements"), entered into by and among the Issuer, Sumitovant, Zeus Sciences Ltd., a wholly owned subsidiary of Sumitovant ("Merger Sub"), and other parties thereto. Pursuant to the Merger Agreements, Merger Sub merged with and into the Issuer, with the Issuer continuing as a wholly owned subsidiary of Sumitovant (the "Merger").</w:t>
      </w:r>
    </w:p>
    <w:p>
      <w:pPr>
        <w:spacing w:after="0" w:line="29" w:lineRule="exact"/>
        <w:rPr>
          <w:rFonts w:ascii="Arial" w:cs="Arial" w:eastAsia="Arial" w:hAnsi="Arial"/>
          <w:sz w:val="13"/>
          <w:szCs w:val="13"/>
          <w:color w:val="008000"/>
        </w:rPr>
      </w:pPr>
    </w:p>
    <w:p>
      <w:pPr>
        <w:ind w:left="40" w:right="320" w:hanging="1"/>
        <w:spacing w:after="0" w:line="239" w:lineRule="auto"/>
        <w:tabs>
          <w:tab w:leader="none" w:pos="166"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At the effective time of the Merger (the "Effective Time"), each common share of the Issuer outstanding immediately prior to the Effective Time (other than certain excluded shares) automatically converted into the right to receive $27.00 in cash, without interest and less any applicable withholding taxes (the "Per Share Consideration").</w:t>
      </w:r>
    </w:p>
    <w:p>
      <w:pPr>
        <w:spacing w:after="0" w:line="29" w:lineRule="exact"/>
        <w:rPr>
          <w:rFonts w:ascii="Arial" w:cs="Arial" w:eastAsia="Arial" w:hAnsi="Arial"/>
          <w:sz w:val="13"/>
          <w:szCs w:val="13"/>
          <w:color w:val="008000"/>
        </w:rPr>
      </w:pPr>
    </w:p>
    <w:p>
      <w:pPr>
        <w:jc w:val="both"/>
        <w:ind w:left="40" w:right="300" w:hanging="1"/>
        <w:spacing w:after="0" w:line="234" w:lineRule="auto"/>
        <w:tabs>
          <w:tab w:leader="none" w:pos="166"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Reflects restricted stock units ("RSUs"). Each RSU outstanding immediately prior to the Effective Time that had not been settled in Issuer common shares was canceled and converted into the right to receive an amount (subject to any applicable withholding tax) in cash, without interest, equal to the product of (a) the Per Share Consideration, multiplied by (b) the total number of Issuer common shares subject to such RSU immediately prior to the Effective Time.</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are fully vested.</w:t>
      </w:r>
    </w:p>
    <w:p>
      <w:pPr>
        <w:spacing w:after="0" w:line="39" w:lineRule="exact"/>
        <w:rPr>
          <w:rFonts w:ascii="Arial" w:cs="Arial" w:eastAsia="Arial" w:hAnsi="Arial"/>
          <w:sz w:val="13"/>
          <w:szCs w:val="13"/>
          <w:color w:val="008000"/>
        </w:rPr>
      </w:pPr>
    </w:p>
    <w:p>
      <w:pPr>
        <w:ind w:left="40" w:right="140" w:hanging="1"/>
        <w:spacing w:after="0" w:line="310" w:lineRule="auto"/>
        <w:tabs>
          <w:tab w:leader="none" w:pos="166"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Each then-outstanding and unexercised Issuer stock option (whether vested or unvested) was canceled and converted into the right to receive an amount (subject to any withholding tax) in cash, without interest, equal to the product of (a) the excess, if any, of (i) the Per Share Consideration over (ii) the applicable exercise price for such option, multiplied by (b) the total number of Issuer common shares subject to such option.</w:t>
      </w: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One-fourth of the options vested on April 5, 2020, and one-sixteenth of the options vest each quarter thereafter.</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One-fourth of the options vested on April 3, 2021, and one-sixteenth of the options vest each quarter thereafter.</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One-fourth of the options vested on April 15, 2022, and one-sixteenth of the options vest each quarter thereafter.</w:t>
      </w:r>
    </w:p>
    <w:p>
      <w:pPr>
        <w:spacing w:after="0" w:line="39" w:lineRule="exact"/>
        <w:rPr>
          <w:rFonts w:ascii="Arial" w:cs="Arial" w:eastAsia="Arial" w:hAnsi="Arial"/>
          <w:sz w:val="13"/>
          <w:szCs w:val="13"/>
          <w:color w:val="008000"/>
        </w:rPr>
      </w:pPr>
    </w:p>
    <w:p>
      <w:pPr>
        <w:ind w:left="40" w:right="200" w:hanging="1"/>
        <w:spacing w:after="0" w:line="234" w:lineRule="auto"/>
        <w:tabs>
          <w:tab w:leader="none" w:pos="166"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performance-based restricted stock unit ("PSU") outstanding immediately prior to the Effective Time that had not been settled in Issuer common shares was canceled and converted into the right to receive an amount (subject to any applicable withholding tax) in cash, without interest, equal to the product of (a) the Per Share Consideration, multiplied by (b) the total number of Issuer common shares subject to such PSUs (deeming performance goals as being satisfied) immediately prior to the Effective Time.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8"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Matthew Lang, Attorney-in-</w:t>
            </w:r>
          </w:p>
        </w:tc>
        <w:tc>
          <w:tcPr>
            <w:tcW w:w="80" w:type="dxa"/>
            <w:vAlign w:val="bottom"/>
          </w:tcPr>
          <w:p>
            <w:pPr>
              <w:spacing w:after="0"/>
              <w:rPr>
                <w:sz w:val="17"/>
                <w:szCs w:val="17"/>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0000FF"/>
                <w:w w:val="99"/>
              </w:rPr>
              <w:t>03/10/2023</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1" w:lineRule="exact"/>
              <w:rPr>
                <w:sz w:val="20"/>
                <w:szCs w:val="20"/>
                <w:color w:val="auto"/>
              </w:rPr>
            </w:pPr>
            <w:r>
              <w:rPr>
                <w:rFonts w:ascii="Arial" w:cs="Arial" w:eastAsia="Arial" w:hAnsi="Arial"/>
                <w:sz w:val="16"/>
                <w:szCs w:val="16"/>
                <w:color w:val="0000FF"/>
                <w:w w:val="85"/>
              </w:rPr>
              <w:t>fact</w:t>
            </w:r>
          </w:p>
        </w:tc>
        <w:tc>
          <w:tcPr>
            <w:tcW w:w="188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49" w:orient="portrait"/>
          <w:cols w:equalWidth="0" w:num="1">
            <w:col w:w="11080"/>
          </w:cols>
          <w:pgMar w:left="460" w:top="219"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49" w:orient="portrait"/>
          <w:cols w:equalWidth="0" w:num="1">
            <w:col w:w="11080"/>
          </w:cols>
          <w:pgMar w:left="460" w:top="219"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5"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9"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4080" TargetMode="External"/><Relationship Id="rId13" Type="http://schemas.openxmlformats.org/officeDocument/2006/relationships/hyperlink" Target="http://www.sec.gov/cgi-bin/browse-edgar?action=getcompany&amp;CIK=0001679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2023-03-10T08:38:58Z</dcterms:created>
  <dcterms:modified xsi:type="dcterms:W3CDTF">2023-03-10T08:38:58Z</dcterms:modified>
</cp:coreProperties>
</file>