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b w:val="1"/>
          <w:bCs w:val="1"/>
          <w:color w:val="auto"/>
        </w:rPr>
        <w:t>As filed with the Securities and Exchange Commission on March 10, 2023</w:t>
      </w:r>
    </w:p>
    <w:p>
      <w:pPr>
        <w:spacing w:after="0" w:line="268"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333-231764</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333-221526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3320"/>
        <w:spacing w:after="0"/>
        <w:rPr>
          <w:sz w:val="20"/>
          <w:szCs w:val="20"/>
          <w:color w:val="auto"/>
        </w:rPr>
      </w:pPr>
      <w:r>
        <w:rPr>
          <w:rFonts w:ascii="Arial" w:cs="Arial" w:eastAsia="Arial" w:hAnsi="Arial"/>
          <w:sz w:val="22"/>
          <w:szCs w:val="22"/>
          <w:b w:val="1"/>
          <w:bCs w:val="1"/>
          <w:color w:val="auto"/>
        </w:rPr>
        <w:t>Post-Effective Amendment No. 3 (No. 333-231764)</w:t>
      </w:r>
    </w:p>
    <w:p>
      <w:pPr>
        <w:spacing w:after="0" w:line="14" w:lineRule="exact"/>
        <w:rPr>
          <w:sz w:val="24"/>
          <w:szCs w:val="24"/>
          <w:color w:val="auto"/>
        </w:rPr>
      </w:pPr>
    </w:p>
    <w:p>
      <w:pPr>
        <w:ind w:left="3320"/>
        <w:spacing w:after="0"/>
        <w:rPr>
          <w:sz w:val="20"/>
          <w:szCs w:val="20"/>
          <w:color w:val="auto"/>
        </w:rPr>
      </w:pPr>
      <w:r>
        <w:rPr>
          <w:rFonts w:ascii="Arial" w:cs="Arial" w:eastAsia="Arial" w:hAnsi="Arial"/>
          <w:sz w:val="22"/>
          <w:szCs w:val="22"/>
          <w:b w:val="1"/>
          <w:bCs w:val="1"/>
          <w:color w:val="auto"/>
        </w:rPr>
        <w:t>Post-Effective Amendment No. 1 (No. 333-221526)</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S-3 REGISTRATION STATEMENT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UNDER</w:t>
      </w: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MYOVANT SCIENCES LTD.</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220" w:right="339" w:bottom="171" w:gutter="0" w:footer="0" w:header="0"/>
        </w:sectPr>
      </w:pPr>
    </w:p>
    <w:p>
      <w:pPr>
        <w:spacing w:after="0" w:line="200" w:lineRule="exact"/>
        <w:rPr>
          <w:sz w:val="24"/>
          <w:szCs w:val="24"/>
          <w:color w:val="auto"/>
        </w:rPr>
      </w:pPr>
    </w:p>
    <w:p>
      <w:pPr>
        <w:spacing w:after="0" w:line="261"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98-1343578</w:t>
      </w:r>
    </w:p>
    <w:p>
      <w:pPr>
        <w:spacing w:after="0" w:line="50" w:lineRule="exact"/>
        <w:rPr>
          <w:sz w:val="24"/>
          <w:szCs w:val="24"/>
          <w:color w:val="auto"/>
        </w:rPr>
      </w:pPr>
    </w:p>
    <w:p>
      <w:pPr>
        <w:sectPr>
          <w:pgSz w:w="11900" w:h="16838" w:orient="portrait"/>
          <w:cols w:equalWidth="0" w:num="2">
            <w:col w:w="7340" w:space="720"/>
            <w:col w:w="3180"/>
          </w:cols>
          <w:pgMar w:left="320" w:top="220" w:right="339" w:bottom="171" w:gutter="0" w:footer="0" w:header="0"/>
          <w:type w:val="continuous"/>
        </w:sectPr>
      </w:pPr>
    </w:p>
    <w:p>
      <w:pPr>
        <w:ind w:left="6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243205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3980"/>
          </w:cols>
          <w:pgMar w:left="320" w:top="220" w:right="339" w:bottom="171" w:gutter="0" w:footer="0" w:header="0"/>
          <w:type w:val="continuous"/>
        </w:sect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7th Floor</w:t>
      </w:r>
    </w:p>
    <w:p>
      <w:pPr>
        <w:spacing w:after="0" w:line="14" w:lineRule="exact"/>
        <w:rPr>
          <w:sz w:val="24"/>
          <w:szCs w:val="24"/>
          <w:color w:val="auto"/>
        </w:rPr>
      </w:pPr>
    </w:p>
    <w:p>
      <w:pPr>
        <w:ind w:left="5260" w:right="5000" w:hanging="243"/>
        <w:spacing w:after="0" w:line="266" w:lineRule="auto"/>
        <w:tabs>
          <w:tab w:leader="none" w:pos="5283"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Broadway London</w:t>
      </w:r>
    </w:p>
    <w:p>
      <w:pPr>
        <w:jc w:val="center"/>
        <w:spacing w:after="0" w:line="232" w:lineRule="auto"/>
        <w:rPr>
          <w:sz w:val="20"/>
          <w:szCs w:val="20"/>
          <w:color w:val="auto"/>
        </w:rPr>
      </w:pPr>
      <w:r>
        <w:rPr>
          <w:rFonts w:ascii="Arial" w:cs="Arial" w:eastAsia="Arial" w:hAnsi="Arial"/>
          <w:sz w:val="22"/>
          <w:szCs w:val="22"/>
          <w:b w:val="1"/>
          <w:bCs w:val="1"/>
          <w:color w:val="auto"/>
        </w:rPr>
        <w:t>SW1H 0DB</w:t>
      </w:r>
    </w:p>
    <w:p>
      <w:pPr>
        <w:ind w:left="4860"/>
        <w:spacing w:after="0" w:line="230" w:lineRule="auto"/>
        <w:rPr>
          <w:sz w:val="20"/>
          <w:szCs w:val="20"/>
          <w:color w:val="auto"/>
        </w:rPr>
      </w:pPr>
      <w:r>
        <w:rPr>
          <w:rFonts w:ascii="Arial" w:cs="Arial" w:eastAsia="Arial" w:hAnsi="Arial"/>
          <w:sz w:val="22"/>
          <w:szCs w:val="22"/>
          <w:b w:val="1"/>
          <w:bCs w:val="1"/>
          <w:color w:val="auto"/>
        </w:rPr>
        <w:t>United Kingdom</w:t>
      </w:r>
    </w:p>
    <w:p>
      <w:pPr>
        <w:ind w:left="4800"/>
        <w:spacing w:after="0" w:line="231" w:lineRule="auto"/>
        <w:rPr>
          <w:sz w:val="20"/>
          <w:szCs w:val="20"/>
          <w:color w:val="auto"/>
        </w:rPr>
      </w:pPr>
      <w:r>
        <w:rPr>
          <w:rFonts w:ascii="Arial" w:cs="Arial" w:eastAsia="Arial" w:hAnsi="Arial"/>
          <w:sz w:val="22"/>
          <w:szCs w:val="22"/>
          <w:b w:val="1"/>
          <w:bCs w:val="1"/>
          <w:color w:val="auto"/>
        </w:rPr>
        <w:t>+ 44 207 400 3351</w:t>
      </w:r>
    </w:p>
    <w:p>
      <w:pPr>
        <w:jc w:val="center"/>
        <w:spacing w:after="0"/>
        <w:rPr>
          <w:sz w:val="20"/>
          <w:szCs w:val="20"/>
          <w:color w:val="auto"/>
        </w:rPr>
      </w:pPr>
      <w:r>
        <w:rPr>
          <w:rFonts w:ascii="Arial" w:cs="Arial" w:eastAsia="Arial" w:hAnsi="Arial"/>
          <w:sz w:val="19"/>
          <w:szCs w:val="19"/>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Matthew Lang</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General Counsel and Corporate Secretary</w:t>
      </w:r>
    </w:p>
    <w:p>
      <w:pPr>
        <w:jc w:val="center"/>
        <w:spacing w:after="0" w:line="230" w:lineRule="auto"/>
        <w:rPr>
          <w:sz w:val="20"/>
          <w:szCs w:val="20"/>
          <w:color w:val="auto"/>
        </w:rPr>
      </w:pPr>
      <w:r>
        <w:rPr>
          <w:rFonts w:ascii="Arial" w:cs="Arial" w:eastAsia="Arial" w:hAnsi="Arial"/>
          <w:sz w:val="22"/>
          <w:szCs w:val="22"/>
          <w:b w:val="1"/>
          <w:bCs w:val="1"/>
          <w:color w:val="auto"/>
        </w:rPr>
        <w:t>7th Floor</w:t>
      </w:r>
    </w:p>
    <w:p>
      <w:pPr>
        <w:spacing w:after="0" w:line="1" w:lineRule="exact"/>
        <w:rPr>
          <w:sz w:val="24"/>
          <w:szCs w:val="24"/>
          <w:color w:val="auto"/>
        </w:rPr>
      </w:pPr>
    </w:p>
    <w:p>
      <w:pPr>
        <w:ind w:left="5260" w:right="5000" w:hanging="243"/>
        <w:spacing w:after="0" w:line="266" w:lineRule="auto"/>
        <w:tabs>
          <w:tab w:leader="none" w:pos="5283"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Broadway London</w:t>
      </w:r>
    </w:p>
    <w:p>
      <w:pPr>
        <w:jc w:val="center"/>
        <w:spacing w:after="0" w:line="232" w:lineRule="auto"/>
        <w:rPr>
          <w:sz w:val="20"/>
          <w:szCs w:val="20"/>
          <w:color w:val="auto"/>
        </w:rPr>
      </w:pPr>
      <w:r>
        <w:rPr>
          <w:rFonts w:ascii="Arial" w:cs="Arial" w:eastAsia="Arial" w:hAnsi="Arial"/>
          <w:sz w:val="22"/>
          <w:szCs w:val="22"/>
          <w:b w:val="1"/>
          <w:bCs w:val="1"/>
          <w:color w:val="auto"/>
        </w:rPr>
        <w:t>SW1H 0DB</w:t>
      </w:r>
    </w:p>
    <w:p>
      <w:pPr>
        <w:ind w:left="4860"/>
        <w:spacing w:after="0" w:line="230" w:lineRule="auto"/>
        <w:rPr>
          <w:sz w:val="20"/>
          <w:szCs w:val="20"/>
          <w:color w:val="auto"/>
        </w:rPr>
      </w:pPr>
      <w:r>
        <w:rPr>
          <w:rFonts w:ascii="Arial" w:cs="Arial" w:eastAsia="Arial" w:hAnsi="Arial"/>
          <w:sz w:val="22"/>
          <w:szCs w:val="22"/>
          <w:b w:val="1"/>
          <w:bCs w:val="1"/>
          <w:color w:val="auto"/>
        </w:rPr>
        <w:t>United Kingdom</w:t>
      </w:r>
    </w:p>
    <w:p>
      <w:pPr>
        <w:ind w:left="4800"/>
        <w:spacing w:after="0" w:line="231" w:lineRule="auto"/>
        <w:rPr>
          <w:sz w:val="20"/>
          <w:szCs w:val="20"/>
          <w:color w:val="auto"/>
        </w:rPr>
      </w:pPr>
      <w:r>
        <w:rPr>
          <w:rFonts w:ascii="Arial" w:cs="Arial" w:eastAsia="Arial" w:hAnsi="Arial"/>
          <w:sz w:val="22"/>
          <w:szCs w:val="22"/>
          <w:b w:val="1"/>
          <w:bCs w:val="1"/>
          <w:color w:val="auto"/>
        </w:rPr>
        <w:t>+ 44 207 400 3351</w:t>
      </w:r>
    </w:p>
    <w:p>
      <w:pPr>
        <w:jc w:val="center"/>
        <w:spacing w:after="0"/>
        <w:rPr>
          <w:sz w:val="20"/>
          <w:szCs w:val="20"/>
          <w:color w:val="auto"/>
        </w:rPr>
      </w:pPr>
      <w:r>
        <w:rPr>
          <w:rFonts w:ascii="Arial" w:cs="Arial" w:eastAsia="Arial" w:hAnsi="Arial"/>
          <w:sz w:val="22"/>
          <w:szCs w:val="22"/>
          <w:color w:val="auto"/>
        </w:rPr>
        <w:t>(Name, Address, including Zip Code, and Telephone Number, including Area Code, of Agent for Service</w:t>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with a copy 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Stephen F. Arcano</w:t>
      </w:r>
    </w:p>
    <w:p>
      <w:pPr>
        <w:jc w:val="center"/>
        <w:spacing w:after="0" w:line="230" w:lineRule="auto"/>
        <w:rPr>
          <w:sz w:val="20"/>
          <w:szCs w:val="20"/>
          <w:color w:val="auto"/>
        </w:rPr>
      </w:pPr>
      <w:r>
        <w:rPr>
          <w:rFonts w:ascii="Arial" w:cs="Arial" w:eastAsia="Arial" w:hAnsi="Arial"/>
          <w:sz w:val="22"/>
          <w:szCs w:val="22"/>
          <w:b w:val="1"/>
          <w:bCs w:val="1"/>
          <w:color w:val="auto"/>
        </w:rPr>
        <w:t>Thomas W. Greenberg</w:t>
      </w:r>
    </w:p>
    <w:p>
      <w:pPr>
        <w:jc w:val="center"/>
        <w:spacing w:after="0" w:line="231" w:lineRule="auto"/>
        <w:rPr>
          <w:sz w:val="20"/>
          <w:szCs w:val="20"/>
          <w:color w:val="auto"/>
        </w:rPr>
      </w:pPr>
      <w:r>
        <w:rPr>
          <w:rFonts w:ascii="Arial" w:cs="Arial" w:eastAsia="Arial" w:hAnsi="Arial"/>
          <w:sz w:val="22"/>
          <w:szCs w:val="22"/>
          <w:b w:val="1"/>
          <w:bCs w:val="1"/>
          <w:color w:val="auto"/>
        </w:rPr>
        <w:t>Skadden, Arps, Slate, Meagher &amp; Flom LLP</w:t>
      </w:r>
    </w:p>
    <w:p>
      <w:pPr>
        <w:jc w:val="center"/>
        <w:spacing w:after="0" w:line="230" w:lineRule="auto"/>
        <w:rPr>
          <w:sz w:val="20"/>
          <w:szCs w:val="20"/>
          <w:color w:val="auto"/>
        </w:rPr>
      </w:pPr>
      <w:r>
        <w:rPr>
          <w:rFonts w:ascii="Arial" w:cs="Arial" w:eastAsia="Arial" w:hAnsi="Arial"/>
          <w:sz w:val="22"/>
          <w:szCs w:val="22"/>
          <w:b w:val="1"/>
          <w:bCs w:val="1"/>
          <w:color w:val="auto"/>
        </w:rPr>
        <w:t>One Manhattan West</w:t>
      </w:r>
    </w:p>
    <w:p>
      <w:pPr>
        <w:jc w:val="center"/>
        <w:spacing w:after="0" w:line="231" w:lineRule="auto"/>
        <w:rPr>
          <w:sz w:val="20"/>
          <w:szCs w:val="20"/>
          <w:color w:val="auto"/>
        </w:rPr>
      </w:pPr>
      <w:r>
        <w:rPr>
          <w:rFonts w:ascii="Arial" w:cs="Arial" w:eastAsia="Arial" w:hAnsi="Arial"/>
          <w:sz w:val="22"/>
          <w:szCs w:val="22"/>
          <w:b w:val="1"/>
          <w:bCs w:val="1"/>
          <w:color w:val="auto"/>
        </w:rPr>
        <w:t>New York, New York 10001</w:t>
      </w:r>
    </w:p>
    <w:p>
      <w:pPr>
        <w:ind w:left="5480" w:hanging="531"/>
        <w:spacing w:after="0"/>
        <w:tabs>
          <w:tab w:leader="none" w:pos="54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735-3542</w:t>
      </w:r>
    </w:p>
    <w:p>
      <w:pPr>
        <w:spacing w:after="0" w:line="209"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Approximate date of commencement of proposed sale to the public: </w:t>
      </w:r>
      <w:r>
        <w:rPr>
          <w:rFonts w:ascii="Arial" w:cs="Arial" w:eastAsia="Arial" w:hAnsi="Arial"/>
          <w:sz w:val="22"/>
          <w:szCs w:val="22"/>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19" w:lineRule="exact"/>
        <w:rPr>
          <w:sz w:val="24"/>
          <w:szCs w:val="24"/>
          <w:color w:val="auto"/>
        </w:rPr>
      </w:pPr>
    </w:p>
    <w:p>
      <w:pPr>
        <w:ind w:right="260"/>
        <w:spacing w:after="0" w:line="278" w:lineRule="exact"/>
        <w:rPr>
          <w:sz w:val="20"/>
          <w:szCs w:val="20"/>
          <w:color w:val="auto"/>
        </w:rPr>
      </w:pPr>
      <w:r>
        <w:rPr>
          <w:rFonts w:ascii="Arial" w:cs="Arial" w:eastAsia="Arial" w:hAnsi="Arial"/>
          <w:sz w:val="22"/>
          <w:szCs w:val="2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22"/>
          <w:szCs w:val="22"/>
          <w:color w:val="auto"/>
        </w:rPr>
        <w:t>☐</w:t>
      </w:r>
    </w:p>
    <w:p>
      <w:pPr>
        <w:spacing w:after="0" w:line="188" w:lineRule="exact"/>
        <w:rPr>
          <w:sz w:val="24"/>
          <w:szCs w:val="24"/>
          <w:color w:val="auto"/>
        </w:rPr>
      </w:pPr>
    </w:p>
    <w:p>
      <w:pPr>
        <w:ind w:right="340"/>
        <w:spacing w:after="0" w:line="266" w:lineRule="exact"/>
        <w:rPr>
          <w:sz w:val="20"/>
          <w:szCs w:val="20"/>
          <w:color w:val="auto"/>
        </w:rPr>
      </w:pPr>
      <w:r>
        <w:rPr>
          <w:rFonts w:ascii="Arial" w:cs="Arial" w:eastAsia="Arial" w:hAnsi="Arial"/>
          <w:sz w:val="22"/>
          <w:szCs w:val="2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22"/>
          <w:szCs w:val="22"/>
          <w:color w:val="auto"/>
        </w:rPr>
        <w:t>☐</w:t>
      </w:r>
    </w:p>
    <w:p>
      <w:pPr>
        <w:sectPr>
          <w:pgSz w:w="11900" w:h="16838" w:orient="portrait"/>
          <w:cols w:equalWidth="0" w:num="1">
            <w:col w:w="11240"/>
          </w:cols>
          <w:pgMar w:left="320" w:top="220" w:right="339" w:bottom="171" w:gutter="0" w:footer="0" w:header="0"/>
          <w:type w:val="continuous"/>
        </w:sectPr>
      </w:pPr>
    </w:p>
    <w:bookmarkStart w:id="1" w:name="page2"/>
    <w:bookmarkEnd w:id="1"/>
    <w:p>
      <w:pPr>
        <w:ind w:right="80"/>
        <w:spacing w:after="0" w:line="266" w:lineRule="exact"/>
        <w:rPr>
          <w:sz w:val="20"/>
          <w:szCs w:val="20"/>
          <w:color w:val="auto"/>
        </w:rPr>
      </w:pPr>
      <w:r>
        <w:rPr>
          <w:rFonts w:ascii="Arial" w:cs="Arial" w:eastAsia="Arial" w:hAnsi="Arial"/>
          <w:sz w:val="22"/>
          <w:szCs w:val="2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22"/>
          <w:szCs w:val="22"/>
          <w:color w:val="auto"/>
        </w:rPr>
        <w:t>☐</w:t>
      </w:r>
    </w:p>
    <w:p>
      <w:pPr>
        <w:spacing w:after="0" w:line="189" w:lineRule="exact"/>
        <w:rPr>
          <w:sz w:val="20"/>
          <w:szCs w:val="20"/>
          <w:color w:val="auto"/>
        </w:rPr>
      </w:pPr>
    </w:p>
    <w:p>
      <w:pPr>
        <w:ind w:right="300"/>
        <w:spacing w:after="0" w:line="277" w:lineRule="exact"/>
        <w:rPr>
          <w:sz w:val="20"/>
          <w:szCs w:val="20"/>
          <w:color w:val="auto"/>
        </w:rPr>
      </w:pPr>
      <w:r>
        <w:rPr>
          <w:rFonts w:ascii="Arial" w:cs="Arial" w:eastAsia="Arial" w:hAnsi="Arial"/>
          <w:sz w:val="19"/>
          <w:szCs w:val="1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89" w:lineRule="exact"/>
        <w:rPr>
          <w:sz w:val="20"/>
          <w:szCs w:val="20"/>
          <w:color w:val="auto"/>
        </w:rPr>
      </w:pPr>
    </w:p>
    <w:p>
      <w:pPr>
        <w:jc w:val="both"/>
        <w:ind w:right="100"/>
        <w:spacing w:after="0" w:line="277" w:lineRule="exact"/>
        <w:rPr>
          <w:sz w:val="20"/>
          <w:szCs w:val="20"/>
          <w:color w:val="auto"/>
        </w:rPr>
      </w:pPr>
      <w:r>
        <w:rPr>
          <w:rFonts w:ascii="Arial" w:cs="Arial" w:eastAsia="Arial" w:hAnsi="Arial"/>
          <w:sz w:val="19"/>
          <w:szCs w:val="19"/>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9"/>
          <w:szCs w:val="19"/>
          <w:color w:val="auto"/>
        </w:rPr>
        <w:t>☐</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w:t>
      </w:r>
    </w:p>
    <w:p>
      <w:pPr>
        <w:spacing w:after="0" w:line="2"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56" w:lineRule="exact"/>
        <w:rPr>
          <w:sz w:val="20"/>
          <w:szCs w:val="20"/>
          <w:color w:val="auto"/>
        </w:rPr>
      </w:pPr>
    </w:p>
    <w:p>
      <w:pPr>
        <w:jc w:val="both"/>
        <w:ind w:right="120"/>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8" w:right="339" w:bottom="1440" w:gutter="0" w:footer="0" w:header="0"/>
        </w:sectPr>
      </w:pPr>
    </w:p>
    <w:p>
      <w:pPr>
        <w:spacing w:after="0" w:line="17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hanging="2"/>
        <w:spacing w:after="0" w:line="25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4">
            <w:col w:w="1960" w:space="720"/>
            <w:col w:w="2440" w:space="720"/>
            <w:col w:w="2500" w:space="720"/>
            <w:col w:w="2180"/>
          </w:cols>
          <w:pgMar w:left="320" w:top="118" w:right="339" w:bottom="1440" w:gutter="0" w:footer="0" w:header="0"/>
          <w:type w:val="continuous"/>
        </w:sectPr>
      </w:pPr>
    </w:p>
    <w:p>
      <w:pPr>
        <w:spacing w:after="0" w:line="2" w:lineRule="exact"/>
        <w:rPr>
          <w:sz w:val="20"/>
          <w:szCs w:val="20"/>
          <w:color w:val="auto"/>
        </w:rPr>
      </w:pPr>
    </w:p>
    <w:p>
      <w:pPr>
        <w:jc w:val="both"/>
        <w:ind w:right="140"/>
        <w:spacing w:after="0" w:line="279"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DEREGISTRATION OF SECURITIES</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Post-Effective Amendment relates to the following Registration Statements on Form S-3 (the “Registration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Statements”) of Myovant Sciences Ltd., a Bermuda exempted company limited by shares (“Myovant”):</w:t>
      </w:r>
    </w:p>
    <w:p>
      <w:pPr>
        <w:spacing w:after="0" w:line="222" w:lineRule="exact"/>
        <w:rPr>
          <w:sz w:val="20"/>
          <w:szCs w:val="20"/>
          <w:color w:val="auto"/>
        </w:rPr>
      </w:pPr>
    </w:p>
    <w:p>
      <w:pPr>
        <w:ind w:left="660" w:right="10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Registration Statement on Form S-3, File No. 333-231764, filed with the U.S. Securities and Exchange Commission (the “SEC”) on May 24, 2019, as amended by the Post-Effective Amendment No. 1 to Form S-3 filed with the SEC on May 15, 2020 and the Post-Effective Amendment No. 2 to Form S-3 filed with the SEC on May 19, 2020, registering an indeterminate amount of Myovant’s common shares, par value $0.000017727 per share (“Myovant common shares”), Myovant’s preference shares, par value $0.000017727 per share (“Myovant preference shares”), Myovant’s debt securities and Myovant’s warrants at indeterminate prices for a maximum aggregate primary offering price of $300,000,000 and 23,910 Myovant common shares at a maximum price of $12.77 per Myovant common share for a maximum aggregate secondary offering price of $305,331; and</w:t>
      </w:r>
    </w:p>
    <w:p>
      <w:pPr>
        <w:spacing w:after="0" w:line="221"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Registration Statement on Form S-3, File No. 333-221526, filed with the SEC on November 13, 2017, as amended by the Amendment No. 1 to Form S-3 filed with the SEC on December 15, 2017 and the Amendment No. 2 to Form S-3 filed with the SEC on March 23, 2018, registering an indeterminate amount of Myovant common shares, Myovant preference shares, Myovant’s debt securities and Myovant’s warrants at indeterminate prices for a maximum aggregate primary offering price of $300,000,000 and 49,800 Myovant common shares at indeterminate prices for a maximum aggregate secondary offering price of $587,640.</w:t>
      </w:r>
    </w:p>
    <w:p>
      <w:pPr>
        <w:spacing w:after="0" w:line="208" w:lineRule="exact"/>
        <w:rPr>
          <w:sz w:val="20"/>
          <w:szCs w:val="20"/>
          <w:color w:val="auto"/>
        </w:rPr>
      </w:pPr>
    </w:p>
    <w:p>
      <w:pPr>
        <w:ind w:right="20" w:firstLine="1296"/>
        <w:spacing w:after="0" w:line="248" w:lineRule="auto"/>
        <w:rPr>
          <w:sz w:val="20"/>
          <w:szCs w:val="20"/>
          <w:color w:val="auto"/>
        </w:rPr>
      </w:pPr>
      <w:r>
        <w:rPr>
          <w:rFonts w:ascii="Arial" w:cs="Arial" w:eastAsia="Arial" w:hAnsi="Arial"/>
          <w:sz w:val="21"/>
          <w:szCs w:val="21"/>
          <w:color w:val="auto"/>
        </w:rPr>
        <w:t>On March 10, 2023, pursuant to the Agreement and Plan of Merger, dated as of October 23, 2022, by and among Myovant, Sumitovant Biopharma Ltd., a Bermuda exempted company limited by shares (“Sumitovant”), Zeus Sciences Ltd., a Bermuda exempted company limited by shares and a wholly owned subsidiary of Sumitovant (“Merger Sub”), and, solely with respect to Article IX and Annex A thereof, Sumitomo Pharma Co., Ltd., a company organized under the laws of Japan, Merger Sub merged with and into Myovant (the “Merger”), with Myovant continuing as the surviving company following the Merger as a wholly owned subsidiary of Sumitovant.</w:t>
      </w:r>
    </w:p>
    <w:p>
      <w:pPr>
        <w:spacing w:after="0" w:line="204" w:lineRule="exact"/>
        <w:rPr>
          <w:sz w:val="20"/>
          <w:szCs w:val="20"/>
          <w:color w:val="auto"/>
        </w:rPr>
      </w:pPr>
    </w:p>
    <w:p>
      <w:pPr>
        <w:ind w:right="40" w:firstLine="1296"/>
        <w:spacing w:after="0" w:line="277" w:lineRule="auto"/>
        <w:rPr>
          <w:sz w:val="20"/>
          <w:szCs w:val="20"/>
          <w:color w:val="auto"/>
        </w:rPr>
      </w:pPr>
      <w:r>
        <w:rPr>
          <w:rFonts w:ascii="Arial" w:cs="Arial" w:eastAsia="Arial" w:hAnsi="Arial"/>
          <w:sz w:val="19"/>
          <w:szCs w:val="19"/>
          <w:color w:val="auto"/>
        </w:rPr>
        <w:t>As a result of the Merger, Myovant has terminated any and all offerings of Myovant’s securities pursuant to its existing registration statements under the Securities Act of 1933, as amended, including the Registration Statements. In accordance with undertakings made by Myovant in the Registration Statements to remove from registration, by means of a post-effective amendment, any securities registered for issuance pursuant to the Registration Statements that remain unsold at the termination of the offering, Myovant hereby removes from registration all such securities of Myovant registered pursuant to the Registration Statements that remain unsold as of the date hereof. The Registration Statements are hereby amended, as appropriate, to reflect the deregistration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1" w:right="4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Pursuant to the requirements of the Securities Act of 1933, as amended, the registrant certifies that it has reasonable grounds to believe that it meets all of the requirements for filing on Form S-3 and has duly caused this Post-Effective Amendment to the Registration Statements on Form S-3 to be signed on its behalf by the undersigned, thereunto duly authorized, in the City of Brisbane, State of California, on March 10, 2023.</w:t>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MYOVANT SCIENCES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Matthew Lang</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tab/>
        <w:t>General Counsel and Corporate Secretary</w:t>
      </w:r>
    </w:p>
    <w:p>
      <w:pPr>
        <w:spacing w:after="0" w:line="23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 other person is required to sign this Post-Effective Amendment to the Registration Statements on Form S-3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0"/>
    </w:lvl>
  </w:abstractNum>
  <w:abstractNum w:abstractNumId="1">
    <w:nsid w:val="19495CFF"/>
    <w:multiLevelType w:val="hybridMultilevel"/>
    <w:lvl w:ilvl="0">
      <w:lvlJc w:val="left"/>
      <w:lvlText w:val="%1"/>
      <w:numFmt w:val="decimal"/>
      <w:start w:val="50"/>
    </w:lvl>
  </w:abstractNum>
  <w:abstractNum w:abstractNumId="2">
    <w:nsid w:val="2AE8944A"/>
    <w:multiLevelType w:val="hybridMultilevel"/>
    <w:lvl w:ilvl="0">
      <w:lvlJc w:val="left"/>
      <w:lvlText w:val="(%1)"/>
      <w:numFmt w:val="decimal"/>
      <w:start w:val="21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2023-03-10T08:39:06Z</dcterms:created>
  <dcterms:modified xsi:type="dcterms:W3CDTF">2023-03-10T08:39:06Z</dcterms:modified>
</cp:coreProperties>
</file>