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4"/>
          <w:szCs w:val="24"/>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29"/>
          <w:szCs w:val="29"/>
          <w:color w:val="auto"/>
        </w:rPr>
        <w:t>FORM 8-K</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Pursuant to Section 13 or 15(d) of the Securities Exchange Act of 1934</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March 10, 2023</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Myovant Sciences Ltd.</w:t>
      </w: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001-37929</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(Commission File No.)</w:t>
      </w:r>
    </w:p>
    <w:p>
      <w:pPr>
        <w:sectPr>
          <w:pgSz w:w="11900" w:h="16838" w:orient="portrait"/>
          <w:cols w:equalWidth="0" w:num="1">
            <w:col w:w="11260"/>
          </w:cols>
          <w:pgMar w:left="320" w:top="541" w:right="319" w:bottom="1440" w:gutter="0" w:footer="0" w:header="0"/>
        </w:sectPr>
      </w:pPr>
    </w:p>
    <w:p>
      <w:pPr>
        <w:spacing w:after="0" w:line="211" w:lineRule="exact"/>
        <w:rPr>
          <w:sz w:val="24"/>
          <w:szCs w:val="24"/>
          <w:color w:val="auto"/>
        </w:rPr>
      </w:pPr>
    </w:p>
    <w:p>
      <w:pPr>
        <w:ind w:left="2280"/>
        <w:spacing w:after="0"/>
        <w:rPr>
          <w:sz w:val="20"/>
          <w:szCs w:val="20"/>
          <w:color w:val="auto"/>
        </w:rPr>
      </w:pPr>
      <w:r>
        <w:rPr>
          <w:rFonts w:ascii="Arial" w:cs="Arial" w:eastAsia="Arial" w:hAnsi="Arial"/>
          <w:sz w:val="18"/>
          <w:szCs w:val="18"/>
          <w:color w:val="auto"/>
        </w:rPr>
        <w:t>Bermuda</w:t>
      </w:r>
    </w:p>
    <w:p>
      <w:pPr>
        <w:spacing w:after="0" w:line="23"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520"/>
        <w:spacing w:after="0"/>
        <w:rPr>
          <w:sz w:val="20"/>
          <w:szCs w:val="20"/>
          <w:color w:val="auto"/>
        </w:rPr>
      </w:pPr>
      <w:r>
        <w:rPr>
          <w:rFonts w:ascii="Arial" w:cs="Arial" w:eastAsia="Arial" w:hAnsi="Arial"/>
          <w:sz w:val="16"/>
          <w:szCs w:val="16"/>
          <w:color w:val="auto"/>
        </w:rPr>
        <w:t>incorporation or organization)</w:t>
      </w:r>
    </w:p>
    <w:p>
      <w:pPr>
        <w:spacing w:after="0" w:line="234"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7th Floor</w:t>
      </w:r>
    </w:p>
    <w:p>
      <w:pPr>
        <w:spacing w:after="0" w:line="23"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50 Broadway</w:t>
      </w:r>
    </w:p>
    <w:p>
      <w:pPr>
        <w:spacing w:after="0" w:line="9" w:lineRule="exact"/>
        <w:rPr>
          <w:sz w:val="24"/>
          <w:szCs w:val="24"/>
          <w:color w:val="auto"/>
        </w:rPr>
      </w:pPr>
    </w:p>
    <w:p>
      <w:pPr>
        <w:ind w:left="2460"/>
        <w:spacing w:after="0"/>
        <w:rPr>
          <w:sz w:val="20"/>
          <w:szCs w:val="20"/>
          <w:color w:val="auto"/>
        </w:rPr>
      </w:pPr>
      <w:r>
        <w:rPr>
          <w:rFonts w:ascii="Arial" w:cs="Arial" w:eastAsia="Arial" w:hAnsi="Arial"/>
          <w:sz w:val="18"/>
          <w:szCs w:val="18"/>
          <w:color w:val="auto"/>
        </w:rPr>
        <w:t>London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2380"/>
        <w:spacing w:after="0"/>
        <w:rPr>
          <w:sz w:val="20"/>
          <w:szCs w:val="20"/>
          <w:color w:val="auto"/>
        </w:rPr>
      </w:pPr>
      <w:r>
        <w:rPr>
          <w:rFonts w:ascii="Arial" w:cs="Arial" w:eastAsia="Arial" w:hAnsi="Arial"/>
          <w:sz w:val="18"/>
          <w:szCs w:val="18"/>
          <w:color w:val="auto"/>
        </w:rPr>
        <w:t>98-1343578</w:t>
      </w:r>
    </w:p>
    <w:p>
      <w:pPr>
        <w:spacing w:after="0" w:line="23" w:lineRule="exact"/>
        <w:rPr>
          <w:sz w:val="24"/>
          <w:szCs w:val="24"/>
          <w:color w:val="auto"/>
        </w:rPr>
      </w:pPr>
    </w:p>
    <w:p>
      <w:pPr>
        <w:jc w:val="center"/>
        <w:ind w:right="23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380"/>
        <w:spacing w:after="0"/>
        <w:rPr>
          <w:sz w:val="20"/>
          <w:szCs w:val="20"/>
          <w:color w:val="auto"/>
        </w:rPr>
      </w:pPr>
      <w:r>
        <w:rPr>
          <w:rFonts w:ascii="Arial" w:cs="Arial" w:eastAsia="Arial" w:hAnsi="Arial"/>
          <w:sz w:val="17"/>
          <w:szCs w:val="17"/>
          <w:color w:val="auto"/>
        </w:rPr>
        <w:t>Identification No.)</w:t>
      </w:r>
    </w:p>
    <w:p>
      <w:pPr>
        <w:spacing w:after="0" w:line="884" w:lineRule="exact"/>
        <w:rPr>
          <w:sz w:val="24"/>
          <w:szCs w:val="24"/>
          <w:color w:val="auto"/>
        </w:rPr>
      </w:pPr>
    </w:p>
    <w:p>
      <w:pPr>
        <w:sectPr>
          <w:pgSz w:w="11900" w:h="16838" w:orient="portrait"/>
          <w:cols w:equalWidth="0" w:num="2">
            <w:col w:w="6820" w:space="720"/>
            <w:col w:w="3720"/>
          </w:cols>
          <w:pgMar w:left="320" w:top="541" w:right="319" w:bottom="1440" w:gutter="0" w:footer="0" w:header="0"/>
          <w:type w:val="continuous"/>
        </w:sectPr>
      </w:pPr>
    </w:p>
    <w:p>
      <w:pPr>
        <w:jc w:val="center"/>
        <w:ind w:right="5820"/>
        <w:spacing w:after="0"/>
        <w:rPr>
          <w:sz w:val="20"/>
          <w:szCs w:val="20"/>
          <w:color w:val="auto"/>
        </w:rPr>
      </w:pPr>
      <w:r>
        <w:rPr>
          <w:rFonts w:ascii="Arial" w:cs="Arial" w:eastAsia="Arial" w:hAnsi="Arial"/>
          <w:sz w:val="18"/>
          <w:szCs w:val="18"/>
          <w:color w:val="auto"/>
        </w:rPr>
        <w:t>SW1H 0DB</w:t>
      </w:r>
    </w:p>
    <w:p>
      <w:pPr>
        <w:spacing w:after="0" w:line="9" w:lineRule="exact"/>
        <w:rPr>
          <w:sz w:val="24"/>
          <w:szCs w:val="24"/>
          <w:color w:val="auto"/>
        </w:rPr>
      </w:pPr>
    </w:p>
    <w:p>
      <w:pPr>
        <w:jc w:val="center"/>
        <w:ind w:right="5820"/>
        <w:spacing w:after="0"/>
        <w:rPr>
          <w:sz w:val="20"/>
          <w:szCs w:val="20"/>
          <w:color w:val="auto"/>
        </w:rPr>
      </w:pPr>
      <w:r>
        <w:rPr>
          <w:rFonts w:ascii="Arial" w:cs="Arial" w:eastAsia="Arial" w:hAnsi="Arial"/>
          <w:sz w:val="18"/>
          <w:szCs w:val="18"/>
          <w:color w:val="auto"/>
        </w:rPr>
        <w:t>United Kingdom</w:t>
      </w:r>
    </w:p>
    <w:p>
      <w:pPr>
        <w:spacing w:after="0" w:line="9"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Not Applicable</w:t>
      </w:r>
    </w:p>
    <w:p>
      <w:pPr>
        <w:spacing w:after="0" w:line="9" w:lineRule="exact"/>
        <w:rPr>
          <w:sz w:val="24"/>
          <w:szCs w:val="24"/>
          <w:color w:val="auto"/>
        </w:rPr>
      </w:pPr>
    </w:p>
    <w:p>
      <w:pPr>
        <w:ind w:left="1140"/>
        <w:spacing w:after="0"/>
        <w:tabs>
          <w:tab w:leader="none" w:pos="776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11"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Registrant’s telephone number, including area code: +44 207 400 3351</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0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Common Shares, par value $0.000017727 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MYOV</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41"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previously disclosed, Myovant Sciences Ltd., an exempted limited company incorporated under the laws of Bermuda (“Myovant” or the “Company”), entered into an Agreement and Plan of Merger, dated as of October 23, 2022 (the “Merger Agreement”), by and among the Company, Sumitovant Biopharma Ltd., a Bermuda exempted company limited by shares (“Sumitovant”), Zeus Sciences Ltd., a Bermuda exempted company limited by shares and wholly owned subsidiary of Sumitovant (“Merger Sub”), and, solely with respect to Article IX and Annex A of the Merger Agreement, Sumitomo Pharma Co., Ltd., a company organized under the laws of Japan (“Sumitomo”), providing for the acquisition by Sumitovant of all outstanding common shares of Myovant, par value US$0.000017727 per share (the “Common Shares”), not already owned by Sumitovant. Pursuant to the Merger Agreement, on March 10, 2023, such acquisition was completed and Merger Sub merged with and into the Company (the “Merger”), with Myovant surviving the Merger as a wholly owned subsidiary of Sumitovant (the “Surviving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Completion of the Merger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set forth in the Introductory Note and in Items 3.03, 5.01, 5.02, 5.03 and 8.01 of this Current Report on Form 8-K is incorporated herein by reference.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the Merger Agreement, at the effective time of the Merger (the “Effective Time”) on March 10, 2023: (i) each Common Share issued and outstanding immediately prior to the Effective Time (other than Excluded Shares (as defined below), Sumitovant Owned Shares (as defined below) and Dissenting Shares (as defined below)) was cancelled and converted into the right to receive $27.00 per share in cash, without interest and less any applicable withholding taxes (the “Per Share Merger Consideration”); (ii) any Common Share owned by Myovant or any direct or indirect wholly owned subsidiary of Myovant (each, an “Excluded Share”) as of immediately prior to the Effective Time was cancelled, was no longer outstanding and automatically ceased to exist and no consideration was delivered in exchange therefor; (iii) each Common Share that was beneficially owned by Sumitovant as of immediately prior to the Effective Time (each, a “Sumitovant Owned Share”) remained outstanding and constituted a fully paid and nonassessable common share of the Surviving Company; (iv) each Common Share held by a holder who, as of the Effective Time, did not vote in favor of the Merger and complied with certain procedures specified in the Merger Agreement (each, a “Dissenting Share”), was automatically cancelled and the holder thereof will have the right to receive the Per Share Merger Consideration and, in the event that the fair value of a Dissenting Share as appraised by the Supreme Court of Bermuda is greater than the Per Share Merger Consideration, the difference between such appraised fair value and the Per Share Merger Consideration; and (v) each common share, par value $0.000017727 per share, of Merger Sub issued and outstanding immediately prior to the Effective Time remained outstanding and constituted a fully paid and nonassessable common share of the Surviving Company.</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In addition, immediately prior to the Effective Time, each Myovant equity award was generally cancelled and converted into the right to receive an amount in cash (without interest and less any applicable withholding taxes) as follows: (i) each option to purchase Common Shares that was outstanding and unexercised immediately prior to the Effective Time, whether vested or unvested, and that had an exercise price per Common Share that was less than the Per Share Merger Consideration, was cancelled and converted into the right to receive a cash payment for each Common Share subject to such option equal to the difference between the Per Share Merger Consideration and the per share exercise price of such option;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option to purchase Common Shares that was outstanding and unexercised immediately prior to the Effective Time, whether vested or unvested, and that had an exercise price per Common Share that was equal to or greater than the Per Share Merger Consideration was cancelled without payment; (ii) each then-outstanding time-based restricted share unit (each, a “Myovant RSU”), except for certain Myovant RSUs granted to non-executive directors as described in clause (iii) that had not been settled in Common Shares prior to the Effective Time, was cancelled and converted into the right to receive, in respect of each such Myovant RSU, a cash payment equal to the Per Share Merger Consideration multiplied by the number of Common Shares subject to such Myovant RSU immediately prior to the Effective Time; (iii) each Myovant RSU that was granted on October 26, 2022 to certain non-executive directors vested pro-rata in accordance with their terms was cancelled and converted into the right to receive, in respect of each such vested Myovant RSU, a cash payment equal to the Per Share Merger Consideration multiplied by the number of Common Shares subject to such vested Myovant RSU immediately prior to the Effective Time, and each remaining unvested Myovant RSU granted on October 26, 2022 was cancelled without payment as of the Effective Time; and (iv) each then-outstanding restricted share unit subject to performance-based vesting conditions (each, a “Myovant PSU”) that had not been settled in Common Shares prior to the Effective Time was cancelled and converted into the right to receive, in respect of each such Myovant PSU, a cash payment equal to the Per Share Merger Consideration multiplied by the number of Common Shares subject to such Myovant PSU (deeming performance goals as being satisfied) immediately prior to the Effective Time.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description of the Merger and the Merger Agreement contained in this Item 2.01 does not purport to be complete and is subject to and qualified in its entirety by reference to the Merger Agreement, which was filed as Exhibit 2.1 to the Current Report on Form 8-K filed by the Company with the U.S. Securities and Exchange Commission (the “SEC”) on October 24, 2022, and is incorporated herein by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2.01 of this Current Report on Form 8-K is incorporated by reference into this Item 3.01.</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a result of the Merger, the Common Shares have ceased to trade on the New York Stock Exchange (the “NYSE”) prior to market open on March 10, 2023 and became eligible for delisting from the NYSE and termination of registration under the Securities Exchange Act of 1934, as amended (the “Exchange Act”). Myovant has requested that the NYSE file a Notification of Removal from Listing and/or Registration under Section 12(b) of the Exchange Act on Form 25 with the SEC to delist the Common Shares from the NYSE. After the Form 25 becomes effective, Myovant plans to file a Form 15 with the SEC to terminate the registration of the Common Shares under the Exchange Act and suspend its reporting obligations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set forth in the Introductory Note and under Items 2.01, 3.01, 5.01 and 5.03 of this Current Report on Form 8-K is incorporated by reference into this Item 3.03.</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consummation of the Merger and at the Effective Time, holders of Common Shares immediately prior to the Effective Time ceased to have any rights as shareholders in the Company (other than their right to receive the Per Share Merger Consideration and other than their appraisal rights, if applicable) and accordingly, no longer have any interest in the Company’s future earnings or growth.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set forth in the Introductory Note and the information set forth under Items 2.01, 3.03 and 5.02 of this Current Report on Form 8-K is incorporated by reference into this Item 5.01.</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consummation of the Merger, Sumitovant acquired all of the outstanding shares of the Company not already held by it and the Company became a wholly owned subsidiary of Sumitovant. The total transaction value was approximately $1.7 billion, without taking into account any exercise of appraisal rights. Sumitovant funded the Merger with a combination of proceeds from debt financing and cash on hand of Sumitomo. The disclosures included or incorporated by reference into this Item 5.01 does not constitute an admission or acknowledgment by the Company that the Merger constitutes a change in control for any purpose.</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information set forth in the Introductory Note and Item 2.01 of this Current Report on Form 8-K is incorporated by reference into this Item 5.02. In connection with the Merger and in accordance with the Merger Agreement, effective as of, and immediately following the Effective Time, all of the members of the board of directors of the Company (consisting of Terrie Curran, Mark Guinan, Adele Gulfo, Shigeyuki Nishinaka, David Marek, Myrtle Potter and Nancy Valente, M.D.) ceased to be directors of the Company, and were replaced with members of the board of directors of Merger Sub (consisting of Adele Gulfo, Myrtle Potter and Shigeyuki Nishinaka). Each of Mses. Gulfo and Potter and Mr. Nishinaka will serve on the board of directors of the Company until each of their respective successors are duly elected and qualified in accordance with applicable law or until their earlier death, resignation or removal.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Changes in Fiscal Year.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set forth in the Introductory Note and Item 2.01 of this Current Report on Form 8-K is incorporated by reference into this Item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5.03.</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Merger Agreement, at the Effective Time, the memorandum of association of the Company, as in effect immediately prior to the Effective Time, was amended and restated in its entirety to be in substantially the form of the memorandum of association of Merger Sub as in effect immediately prior to the Effective Time (the “Memorandum of Association”). In addition, at the Effective Time, the fifth amended and restated bye-laws of the Company, as in effect immediately prior to the Effective Time, were amended and restated in their entirety to be in the form of the amended and restated bye-laws of Merger Sub as in effect immediately prior to the Effective Time (the “Amended and Restated Bye-Laws”). Copies of the Memorandum of Association and the Amended and Restated Bye-Laws are filed as Exhibits 3.1 and 3.2 to this Current Report on Form 8-K, respectively, and are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10, 2023, the Company, Sumitovant and Sumitomo issued a joint press release announcing the consummation of the Merger. The press release is attached hereto as Exhibit 99.1 and is incorporated herein by reference.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Item 9.01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820"/>
        <w:spacing w:after="0"/>
        <w:rPr>
          <w:sz w:val="20"/>
          <w:szCs w:val="20"/>
          <w:color w:val="auto"/>
        </w:rPr>
      </w:pPr>
      <w:r>
        <w:rPr>
          <w:rFonts w:ascii="Arial" w:cs="Arial" w:eastAsia="Arial" w:hAnsi="Arial"/>
          <w:sz w:val="15"/>
          <w:szCs w:val="15"/>
          <w:b w:val="1"/>
          <w:bCs w:val="1"/>
          <w:color w:val="auto"/>
        </w:rPr>
        <w:t>Description</w:t>
      </w:r>
    </w:p>
    <w:p>
      <w:pPr>
        <w:spacing w:after="0" w:line="252" w:lineRule="exact"/>
        <w:rPr>
          <w:sz w:val="20"/>
          <w:szCs w:val="20"/>
          <w:color w:val="auto"/>
        </w:rPr>
      </w:pPr>
    </w:p>
    <w:p>
      <w:pPr>
        <w:sectPr>
          <w:pgSz w:w="11900" w:h="16838" w:orient="portrait"/>
          <w:cols w:equalWidth="0" w:num="2">
            <w:col w:w="4820" w:space="720"/>
            <w:col w:w="5700"/>
          </w:cols>
          <w:pgMar w:left="320" w:top="121" w:right="339" w:bottom="1440" w:gutter="0" w:footer="0" w:header="0"/>
          <w:type w:val="continuous"/>
        </w:sectPr>
      </w:pPr>
    </w:p>
    <w:p>
      <w:pPr>
        <w:spacing w:after="0" w:line="11" w:lineRule="exact"/>
        <w:rPr>
          <w:sz w:val="20"/>
          <w:szCs w:val="20"/>
          <w:color w:val="auto"/>
        </w:rPr>
      </w:pPr>
    </w:p>
    <w:p>
      <w:pPr>
        <w:jc w:val="both"/>
        <w:ind w:left="720" w:hanging="714"/>
        <w:spacing w:after="0" w:line="263" w:lineRule="auto"/>
        <w:tabs>
          <w:tab w:leader="none" w:pos="700" w:val="left"/>
        </w:tabs>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2.1</w:t>
        </w:r>
      </w:hyperlink>
      <w:r>
        <w:rPr>
          <w:rFonts w:ascii="Arial" w:cs="Arial" w:eastAsia="Arial" w:hAnsi="Arial"/>
          <w:sz w:val="18"/>
          <w:szCs w:val="18"/>
          <w:u w:val="single" w:color="auto"/>
          <w:color w:val="0000EE"/>
        </w:rPr>
        <w:tab/>
      </w:r>
      <w:hyperlink r:id="rId15">
        <w:r>
          <w:rPr>
            <w:rFonts w:ascii="Arial" w:cs="Arial" w:eastAsia="Arial" w:hAnsi="Arial"/>
            <w:sz w:val="18"/>
            <w:szCs w:val="18"/>
            <w:u w:val="single" w:color="auto"/>
            <w:color w:val="0000EE"/>
          </w:rPr>
          <w:t>Agreement and Plan of Merger, dated as of October 23, 2022, by and among Sumitovant Biopharma Ltd., Zeus Sciences Ltd., Myovant Sciences</w:t>
        </w:r>
      </w:hyperlink>
      <w:r>
        <w:rPr>
          <w:rFonts w:ascii="Arial" w:cs="Arial" w:eastAsia="Arial" w:hAnsi="Arial"/>
          <w:sz w:val="18"/>
          <w:szCs w:val="18"/>
          <w:u w:val="single" w:color="auto"/>
          <w:color w:val="0000EE"/>
        </w:rPr>
        <w:t xml:space="preserve"> </w:t>
      </w:r>
      <w:hyperlink r:id="rId15">
        <w:r>
          <w:rPr>
            <w:rFonts w:ascii="Arial" w:cs="Arial" w:eastAsia="Arial" w:hAnsi="Arial"/>
            <w:sz w:val="18"/>
            <w:szCs w:val="18"/>
            <w:u w:val="single" w:color="auto"/>
            <w:color w:val="0000EE"/>
          </w:rPr>
          <w:t>Ltd., and, solely with respect to Article IX and Annex A, Sumitomo Pharma Co., Ltd. (incorporated herein by reference to Exhibit 2.1 of</w:t>
        </w:r>
      </w:hyperlink>
      <w:r>
        <w:rPr>
          <w:rFonts w:ascii="Arial" w:cs="Arial" w:eastAsia="Arial" w:hAnsi="Arial"/>
          <w:sz w:val="18"/>
          <w:szCs w:val="18"/>
          <w:u w:val="single" w:color="auto"/>
          <w:color w:val="0000EE"/>
        </w:rPr>
        <w:t xml:space="preserve"> </w:t>
      </w:r>
      <w:hyperlink r:id="rId15">
        <w:r>
          <w:rPr>
            <w:rFonts w:ascii="Arial" w:cs="Arial" w:eastAsia="Arial" w:hAnsi="Arial"/>
            <w:sz w:val="18"/>
            <w:szCs w:val="18"/>
            <w:u w:val="single" w:color="auto"/>
            <w:color w:val="0000EE"/>
          </w:rPr>
          <w:t>Myovant Sciences Ltd.’s Current Report on Form 8-K filed with the SEC on October 24, 2022).</w:t>
        </w:r>
      </w:hyperlink>
    </w:p>
    <w:p>
      <w:pPr>
        <w:spacing w:after="0" w:line="184" w:lineRule="exact"/>
        <w:rPr>
          <w:rFonts w:ascii="Arial" w:cs="Arial" w:eastAsia="Arial" w:hAnsi="Arial"/>
          <w:sz w:val="18"/>
          <w:szCs w:val="18"/>
          <w:u w:val="single" w:color="auto"/>
          <w:color w:val="0000EE"/>
        </w:rPr>
      </w:pPr>
    </w:p>
    <w:p>
      <w:pPr>
        <w:spacing w:after="0"/>
        <w:tabs>
          <w:tab w:leader="none" w:pos="700" w:val="left"/>
        </w:tabs>
        <w:rPr>
          <w:sz w:val="20"/>
          <w:szCs w:val="20"/>
          <w:color w:val="auto"/>
        </w:rPr>
      </w:pPr>
      <w:r>
        <w:rPr>
          <w:rFonts w:ascii="Arial" w:cs="Arial" w:eastAsia="Arial" w:hAnsi="Arial"/>
          <w:sz w:val="18"/>
          <w:szCs w:val="18"/>
          <w:u w:val="single" w:color="auto"/>
          <w:color w:val="0000EE"/>
        </w:rPr>
        <w:t>3.1</w:t>
      </w:r>
      <w:r>
        <w:rPr>
          <w:sz w:val="20"/>
          <w:szCs w:val="20"/>
          <w:color w:val="auto"/>
        </w:rPr>
        <w:tab/>
      </w:r>
      <w:r>
        <w:rPr>
          <w:rFonts w:ascii="Arial" w:cs="Arial" w:eastAsia="Arial" w:hAnsi="Arial"/>
          <w:sz w:val="16"/>
          <w:szCs w:val="16"/>
          <w:u w:val="single" w:color="auto"/>
          <w:color w:val="0000EE"/>
        </w:rPr>
        <w:t>Memorandum of Association of Myovant Sciences Ltd.</w:t>
      </w:r>
    </w:p>
    <w:p>
      <w:pPr>
        <w:spacing w:after="0" w:line="225" w:lineRule="exact"/>
        <w:rPr>
          <w:rFonts w:ascii="Arial" w:cs="Arial" w:eastAsia="Arial" w:hAnsi="Arial"/>
          <w:sz w:val="18"/>
          <w:szCs w:val="18"/>
          <w:u w:val="single" w:color="auto"/>
          <w:color w:val="0000EE"/>
        </w:rPr>
      </w:pPr>
    </w:p>
    <w:p>
      <w:pPr>
        <w:spacing w:after="0"/>
        <w:tabs>
          <w:tab w:leader="none" w:pos="700" w:val="left"/>
        </w:tabs>
        <w:rPr>
          <w:sz w:val="20"/>
          <w:szCs w:val="20"/>
          <w:color w:val="auto"/>
        </w:rPr>
      </w:pPr>
      <w:r>
        <w:rPr>
          <w:rFonts w:ascii="Arial" w:cs="Arial" w:eastAsia="Arial" w:hAnsi="Arial"/>
          <w:sz w:val="18"/>
          <w:szCs w:val="18"/>
          <w:u w:val="single" w:color="auto"/>
          <w:color w:val="0000EE"/>
        </w:rPr>
        <w:t>3.2</w:t>
      </w:r>
      <w:r>
        <w:rPr>
          <w:sz w:val="20"/>
          <w:szCs w:val="20"/>
          <w:color w:val="auto"/>
        </w:rPr>
        <w:tab/>
      </w:r>
      <w:r>
        <w:rPr>
          <w:rFonts w:ascii="Arial" w:cs="Arial" w:eastAsia="Arial" w:hAnsi="Arial"/>
          <w:sz w:val="16"/>
          <w:szCs w:val="16"/>
          <w:u w:val="single" w:color="auto"/>
          <w:color w:val="0000EE"/>
        </w:rPr>
        <w:t>Amended and Restated Bye-Laws of Myovant Sciences Ltd.</w:t>
      </w:r>
    </w:p>
    <w:p>
      <w:pPr>
        <w:spacing w:after="0" w:line="225" w:lineRule="exact"/>
        <w:rPr>
          <w:rFonts w:ascii="Arial" w:cs="Arial" w:eastAsia="Arial" w:hAnsi="Arial"/>
          <w:sz w:val="18"/>
          <w:szCs w:val="18"/>
          <w:u w:val="single" w:color="auto"/>
          <w:color w:val="0000EE"/>
        </w:rPr>
      </w:pPr>
    </w:p>
    <w:p>
      <w:pPr>
        <w:spacing w:after="0"/>
        <w:tabs>
          <w:tab w:leader="none" w:pos="7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Joint Press Release of Sumitomo Pharma Co., Ltd., Sumitovant Biopharma Ltd. and Myovant Sciences Ltd. issued March 10, 2023.</w:t>
      </w:r>
    </w:p>
    <w:p>
      <w:pPr>
        <w:spacing w:after="0" w:line="225" w:lineRule="exact"/>
        <w:rPr>
          <w:rFonts w:ascii="Arial" w:cs="Arial" w:eastAsia="Arial" w:hAnsi="Arial"/>
          <w:sz w:val="18"/>
          <w:szCs w:val="18"/>
          <w:u w:val="single" w:color="auto"/>
          <w:color w:val="0000EE"/>
        </w:rPr>
      </w:pPr>
    </w:p>
    <w:p>
      <w:pPr>
        <w:ind w:left="5580" w:right="4740" w:hanging="5572"/>
        <w:spacing w:after="0" w:line="405" w:lineRule="auto"/>
        <w:tabs>
          <w:tab w:leader="none" w:pos="724" w:val="left"/>
        </w:tabs>
        <w:numPr>
          <w:ilvl w:val="0"/>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MYOVANT SCIENCES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Matthew Lang</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and Corporate Secretary</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154305</wp:posOffset>
            </wp:positionV>
            <wp:extent cx="985520" cy="1191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98552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BERMUDA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COMPANIES ACT 1981</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MEMORANDUM OF ASSOCIATION OF 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7(1) and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Myovant Sciences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(hereinafter referred to as “the Company”)</w:t>
      </w:r>
    </w:p>
    <w:p>
      <w:pPr>
        <w:spacing w:after="0" w:line="200" w:lineRule="exact"/>
        <w:rPr>
          <w:sz w:val="20"/>
          <w:szCs w:val="20"/>
          <w:color w:val="auto"/>
        </w:rPr>
      </w:pPr>
    </w:p>
    <w:p>
      <w:pPr>
        <w:spacing w:after="0" w:line="245"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liability of the members of the Company is limited to the amount (if any) for the time being unpaid on the shares respectively held by them.</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the undersigned, namely,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NAME</w:t>
            </w:r>
          </w:p>
        </w:tc>
        <w:tc>
          <w:tcPr>
            <w:tcW w:w="2960" w:type="dxa"/>
            <w:vAlign w:val="bottom"/>
          </w:tcPr>
          <w:p>
            <w:pPr>
              <w:ind w:left="1660"/>
              <w:spacing w:after="0"/>
              <w:rPr>
                <w:sz w:val="20"/>
                <w:szCs w:val="20"/>
                <w:color w:val="auto"/>
              </w:rPr>
            </w:pPr>
            <w:r>
              <w:rPr>
                <w:rFonts w:ascii="Arial" w:cs="Arial" w:eastAsia="Arial" w:hAnsi="Arial"/>
                <w:sz w:val="18"/>
                <w:szCs w:val="18"/>
                <w:color w:val="auto"/>
              </w:rPr>
              <w:t>ADDRESS</w:t>
            </w:r>
          </w:p>
        </w:tc>
        <w:tc>
          <w:tcPr>
            <w:tcW w:w="2900" w:type="dxa"/>
            <w:vAlign w:val="bottom"/>
          </w:tcPr>
          <w:p>
            <w:pPr>
              <w:jc w:val="center"/>
              <w:ind w:right="110"/>
              <w:spacing w:after="0"/>
              <w:rPr>
                <w:sz w:val="20"/>
                <w:szCs w:val="20"/>
                <w:color w:val="auto"/>
              </w:rPr>
            </w:pPr>
            <w:r>
              <w:rPr>
                <w:rFonts w:ascii="Arial" w:cs="Arial" w:eastAsia="Arial" w:hAnsi="Arial"/>
                <w:sz w:val="18"/>
                <w:szCs w:val="18"/>
                <w:color w:val="auto"/>
                <w:w w:val="96"/>
              </w:rPr>
              <w:t>BERMUDIAN STATUS</w:t>
            </w:r>
          </w:p>
        </w:tc>
        <w:tc>
          <w:tcPr>
            <w:tcW w:w="1860" w:type="dxa"/>
            <w:vAlign w:val="bottom"/>
          </w:tcPr>
          <w:p>
            <w:pPr>
              <w:jc w:val="center"/>
              <w:ind w:left="570"/>
              <w:spacing w:after="0"/>
              <w:rPr>
                <w:sz w:val="20"/>
                <w:szCs w:val="20"/>
                <w:color w:val="auto"/>
              </w:rPr>
            </w:pPr>
            <w:r>
              <w:rPr>
                <w:rFonts w:ascii="Arial" w:cs="Arial" w:eastAsia="Arial" w:hAnsi="Arial"/>
                <w:sz w:val="18"/>
                <w:szCs w:val="18"/>
                <w:color w:val="auto"/>
              </w:rPr>
              <w:t>NATIONALITY</w:t>
            </w:r>
          </w:p>
        </w:tc>
      </w:tr>
      <w:tr>
        <w:trPr>
          <w:trHeight w:val="230"/>
        </w:trPr>
        <w:tc>
          <w:tcPr>
            <w:tcW w:w="27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900" w:type="dxa"/>
            <w:vAlign w:val="bottom"/>
          </w:tcPr>
          <w:p>
            <w:pPr>
              <w:jc w:val="center"/>
              <w:ind w:right="130"/>
              <w:spacing w:after="0"/>
              <w:rPr>
                <w:sz w:val="20"/>
                <w:szCs w:val="20"/>
                <w:color w:val="auto"/>
              </w:rPr>
            </w:pPr>
            <w:r>
              <w:rPr>
                <w:rFonts w:ascii="Arial" w:cs="Arial" w:eastAsia="Arial" w:hAnsi="Arial"/>
                <w:sz w:val="18"/>
                <w:szCs w:val="18"/>
                <w:color w:val="auto"/>
                <w:w w:val="91"/>
              </w:rPr>
              <w:t>(Yes or No)</w:t>
            </w:r>
          </w:p>
        </w:tc>
        <w:tc>
          <w:tcPr>
            <w:tcW w:w="1860" w:type="dxa"/>
            <w:vAlign w:val="bottom"/>
          </w:tcPr>
          <w:p>
            <w:pPr>
              <w:spacing w:after="0"/>
              <w:rPr>
                <w:sz w:val="20"/>
                <w:szCs w:val="20"/>
                <w:color w:val="auto"/>
              </w:rPr>
            </w:pPr>
          </w:p>
        </w:tc>
      </w:tr>
      <w:tr>
        <w:trPr>
          <w:trHeight w:val="418"/>
        </w:trPr>
        <w:tc>
          <w:tcPr>
            <w:tcW w:w="2720" w:type="dxa"/>
            <w:vAlign w:val="bottom"/>
          </w:tcPr>
          <w:p>
            <w:pPr>
              <w:spacing w:after="0"/>
              <w:rPr>
                <w:sz w:val="20"/>
                <w:szCs w:val="20"/>
                <w:color w:val="auto"/>
              </w:rPr>
            </w:pPr>
            <w:r>
              <w:rPr>
                <w:rFonts w:ascii="Arial" w:cs="Arial" w:eastAsia="Arial" w:hAnsi="Arial"/>
                <w:sz w:val="18"/>
                <w:szCs w:val="18"/>
                <w:color w:val="auto"/>
              </w:rPr>
              <w:t>Dawn Griffiths</w:t>
            </w:r>
          </w:p>
        </w:tc>
        <w:tc>
          <w:tcPr>
            <w:tcW w:w="2960" w:type="dxa"/>
            <w:vAlign w:val="bottom"/>
          </w:tcPr>
          <w:p>
            <w:pPr>
              <w:ind w:left="1240"/>
              <w:spacing w:after="0"/>
              <w:rPr>
                <w:sz w:val="20"/>
                <w:szCs w:val="20"/>
                <w:color w:val="auto"/>
              </w:rPr>
            </w:pPr>
            <w:r>
              <w:rPr>
                <w:rFonts w:ascii="Arial" w:cs="Arial" w:eastAsia="Arial" w:hAnsi="Arial"/>
                <w:sz w:val="18"/>
                <w:szCs w:val="18"/>
                <w:color w:val="auto"/>
              </w:rPr>
              <w:t>Clarendon House</w:t>
            </w:r>
          </w:p>
        </w:tc>
        <w:tc>
          <w:tcPr>
            <w:tcW w:w="2900" w:type="dxa"/>
            <w:vAlign w:val="bottom"/>
          </w:tcPr>
          <w:p>
            <w:pPr>
              <w:jc w:val="center"/>
              <w:ind w:right="110"/>
              <w:spacing w:after="0"/>
              <w:rPr>
                <w:sz w:val="20"/>
                <w:szCs w:val="20"/>
                <w:color w:val="auto"/>
              </w:rPr>
            </w:pPr>
            <w:r>
              <w:rPr>
                <w:rFonts w:ascii="Arial" w:cs="Arial" w:eastAsia="Arial" w:hAnsi="Arial"/>
                <w:sz w:val="18"/>
                <w:szCs w:val="18"/>
                <w:color w:val="auto"/>
                <w:w w:val="83"/>
              </w:rPr>
              <w:t>Yes</w:t>
            </w:r>
          </w:p>
        </w:tc>
        <w:tc>
          <w:tcPr>
            <w:tcW w:w="1860" w:type="dxa"/>
            <w:vAlign w:val="bottom"/>
          </w:tcPr>
          <w:p>
            <w:pPr>
              <w:jc w:val="center"/>
              <w:ind w:left="570"/>
              <w:spacing w:after="0"/>
              <w:rPr>
                <w:sz w:val="20"/>
                <w:szCs w:val="20"/>
                <w:color w:val="auto"/>
              </w:rPr>
            </w:pPr>
            <w:r>
              <w:rPr>
                <w:rFonts w:ascii="Arial" w:cs="Arial" w:eastAsia="Arial" w:hAnsi="Arial"/>
                <w:sz w:val="18"/>
                <w:szCs w:val="18"/>
                <w:color w:val="auto"/>
                <w:w w:val="95"/>
              </w:rPr>
              <w:t>British</w:t>
            </w:r>
          </w:p>
        </w:tc>
      </w:tr>
      <w:tr>
        <w:trPr>
          <w:trHeight w:val="216"/>
        </w:trPr>
        <w:tc>
          <w:tcPr>
            <w:tcW w:w="2720" w:type="dxa"/>
            <w:vAlign w:val="bottom"/>
          </w:tcPr>
          <w:p>
            <w:pPr>
              <w:spacing w:after="0"/>
              <w:rPr>
                <w:sz w:val="18"/>
                <w:szCs w:val="18"/>
                <w:color w:val="auto"/>
              </w:rPr>
            </w:pPr>
          </w:p>
        </w:tc>
        <w:tc>
          <w:tcPr>
            <w:tcW w:w="2960" w:type="dxa"/>
            <w:vAlign w:val="bottom"/>
          </w:tcPr>
          <w:p>
            <w:pPr>
              <w:ind w:left="1240"/>
              <w:spacing w:after="0"/>
              <w:rPr>
                <w:sz w:val="20"/>
                <w:szCs w:val="20"/>
                <w:color w:val="auto"/>
              </w:rPr>
            </w:pPr>
            <w:r>
              <w:rPr>
                <w:rFonts w:ascii="Arial" w:cs="Arial" w:eastAsia="Arial" w:hAnsi="Arial"/>
                <w:sz w:val="18"/>
                <w:szCs w:val="18"/>
                <w:color w:val="auto"/>
              </w:rPr>
              <w:t>2 Church Street</w:t>
            </w:r>
          </w:p>
        </w:tc>
        <w:tc>
          <w:tcPr>
            <w:tcW w:w="29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960" w:type="dxa"/>
            <w:vAlign w:val="bottom"/>
          </w:tcPr>
          <w:p>
            <w:pPr>
              <w:ind w:left="1240"/>
              <w:spacing w:after="0"/>
              <w:rPr>
                <w:sz w:val="20"/>
                <w:szCs w:val="20"/>
                <w:color w:val="auto"/>
              </w:rPr>
            </w:pPr>
            <w:r>
              <w:rPr>
                <w:rFonts w:ascii="Arial" w:cs="Arial" w:eastAsia="Arial" w:hAnsi="Arial"/>
                <w:sz w:val="18"/>
                <w:szCs w:val="18"/>
                <w:color w:val="auto"/>
              </w:rPr>
              <w:t>Hamilton HM 11</w:t>
            </w:r>
          </w:p>
        </w:tc>
        <w:tc>
          <w:tcPr>
            <w:tcW w:w="29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2960" w:type="dxa"/>
            <w:vAlign w:val="bottom"/>
          </w:tcPr>
          <w:p>
            <w:pPr>
              <w:ind w:left="1240"/>
              <w:spacing w:after="0"/>
              <w:rPr>
                <w:sz w:val="20"/>
                <w:szCs w:val="20"/>
                <w:color w:val="auto"/>
              </w:rPr>
            </w:pPr>
            <w:r>
              <w:rPr>
                <w:rFonts w:ascii="Arial" w:cs="Arial" w:eastAsia="Arial" w:hAnsi="Arial"/>
                <w:sz w:val="18"/>
                <w:szCs w:val="18"/>
                <w:color w:val="auto"/>
              </w:rPr>
              <w:t>Bermuda</w:t>
            </w:r>
          </w:p>
        </w:tc>
        <w:tc>
          <w:tcPr>
            <w:tcW w:w="29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David W.P. Cooke</w:t>
            </w:r>
          </w:p>
        </w:tc>
        <w:tc>
          <w:tcPr>
            <w:tcW w:w="2960" w:type="dxa"/>
            <w:vAlign w:val="bottom"/>
          </w:tcPr>
          <w:p>
            <w:pPr>
              <w:ind w:left="1240"/>
              <w:spacing w:after="0"/>
              <w:rPr>
                <w:sz w:val="20"/>
                <w:szCs w:val="20"/>
                <w:color w:val="auto"/>
              </w:rPr>
            </w:pPr>
            <w:r>
              <w:rPr>
                <w:rFonts w:ascii="Arial" w:cs="Arial" w:eastAsia="Arial" w:hAnsi="Arial"/>
                <w:sz w:val="18"/>
                <w:szCs w:val="18"/>
                <w:color w:val="auto"/>
              </w:rPr>
              <w:t>“</w:t>
            </w:r>
          </w:p>
        </w:tc>
        <w:tc>
          <w:tcPr>
            <w:tcW w:w="2900" w:type="dxa"/>
            <w:vAlign w:val="bottom"/>
          </w:tcPr>
          <w:p>
            <w:pPr>
              <w:jc w:val="center"/>
              <w:ind w:right="110"/>
              <w:spacing w:after="0"/>
              <w:rPr>
                <w:sz w:val="20"/>
                <w:szCs w:val="20"/>
                <w:color w:val="auto"/>
              </w:rPr>
            </w:pPr>
            <w:r>
              <w:rPr>
                <w:rFonts w:ascii="Arial" w:cs="Arial" w:eastAsia="Arial" w:hAnsi="Arial"/>
                <w:sz w:val="18"/>
                <w:szCs w:val="18"/>
                <w:color w:val="auto"/>
                <w:w w:val="83"/>
              </w:rPr>
              <w:t>Yes</w:t>
            </w:r>
          </w:p>
        </w:tc>
        <w:tc>
          <w:tcPr>
            <w:tcW w:w="1860" w:type="dxa"/>
            <w:vAlign w:val="bottom"/>
          </w:tcPr>
          <w:p>
            <w:pPr>
              <w:jc w:val="center"/>
              <w:ind w:left="570"/>
              <w:spacing w:after="0"/>
              <w:rPr>
                <w:sz w:val="20"/>
                <w:szCs w:val="20"/>
                <w:color w:val="auto"/>
              </w:rPr>
            </w:pPr>
            <w:r>
              <w:rPr>
                <w:rFonts w:ascii="Arial" w:cs="Arial" w:eastAsia="Arial" w:hAnsi="Arial"/>
                <w:sz w:val="18"/>
                <w:szCs w:val="18"/>
                <w:color w:val="auto"/>
                <w:w w:val="95"/>
              </w:rPr>
              <w:t>British</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David W.J. Astwood</w:t>
            </w:r>
          </w:p>
        </w:tc>
        <w:tc>
          <w:tcPr>
            <w:tcW w:w="2960" w:type="dxa"/>
            <w:vAlign w:val="bottom"/>
          </w:tcPr>
          <w:p>
            <w:pPr>
              <w:ind w:left="1240"/>
              <w:spacing w:after="0"/>
              <w:rPr>
                <w:sz w:val="20"/>
                <w:szCs w:val="20"/>
                <w:color w:val="auto"/>
              </w:rPr>
            </w:pPr>
            <w:r>
              <w:rPr>
                <w:rFonts w:ascii="Arial" w:cs="Arial" w:eastAsia="Arial" w:hAnsi="Arial"/>
                <w:sz w:val="18"/>
                <w:szCs w:val="18"/>
                <w:color w:val="auto"/>
              </w:rPr>
              <w:t>“</w:t>
            </w:r>
          </w:p>
        </w:tc>
        <w:tc>
          <w:tcPr>
            <w:tcW w:w="2900" w:type="dxa"/>
            <w:vAlign w:val="bottom"/>
          </w:tcPr>
          <w:p>
            <w:pPr>
              <w:jc w:val="center"/>
              <w:ind w:right="110"/>
              <w:spacing w:after="0"/>
              <w:rPr>
                <w:sz w:val="20"/>
                <w:szCs w:val="20"/>
                <w:color w:val="auto"/>
              </w:rPr>
            </w:pPr>
            <w:r>
              <w:rPr>
                <w:rFonts w:ascii="Arial" w:cs="Arial" w:eastAsia="Arial" w:hAnsi="Arial"/>
                <w:sz w:val="18"/>
                <w:szCs w:val="18"/>
                <w:color w:val="auto"/>
                <w:w w:val="83"/>
              </w:rPr>
              <w:t>Yes</w:t>
            </w:r>
          </w:p>
        </w:tc>
        <w:tc>
          <w:tcPr>
            <w:tcW w:w="1860" w:type="dxa"/>
            <w:vAlign w:val="bottom"/>
          </w:tcPr>
          <w:p>
            <w:pPr>
              <w:jc w:val="center"/>
              <w:ind w:left="570"/>
              <w:spacing w:after="0"/>
              <w:rPr>
                <w:sz w:val="20"/>
                <w:szCs w:val="20"/>
                <w:color w:val="auto"/>
              </w:rPr>
            </w:pPr>
            <w:r>
              <w:rPr>
                <w:rFonts w:ascii="Arial" w:cs="Arial" w:eastAsia="Arial" w:hAnsi="Arial"/>
                <w:sz w:val="18"/>
                <w:szCs w:val="18"/>
                <w:color w:val="auto"/>
                <w:w w:val="95"/>
              </w:rPr>
              <w:t>British</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 hereby respectively agree to take such number of shares of the Company as may be allotted to us respectively by the provisional directors of the Company, not exceeding the number of shares for which we have respectively subscribed, and to satisfy such calls as may be made by the directors, provisional directors or promoters of the Company in respect of the shares allotted to us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 w:name="page7"/>
    <w:bookmarkEnd w:id="6"/>
    <w:p>
      <w:pPr>
        <w:ind w:left="492" w:hanging="492"/>
        <w:spacing w:after="0"/>
        <w:tabs>
          <w:tab w:leader="none" w:pos="4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to be an exempted Company as defined by the Companies Act 1981.</w:t>
      </w:r>
    </w:p>
    <w:p>
      <w:pPr>
        <w:spacing w:after="0" w:line="225" w:lineRule="exact"/>
        <w:rPr>
          <w:rFonts w:ascii="Arial" w:cs="Arial" w:eastAsia="Arial" w:hAnsi="Arial"/>
          <w:sz w:val="18"/>
          <w:szCs w:val="18"/>
          <w:color w:val="auto"/>
        </w:rPr>
      </w:pPr>
    </w:p>
    <w:p>
      <w:pPr>
        <w:ind w:left="492" w:hanging="492"/>
        <w:spacing w:after="0" w:line="277" w:lineRule="auto"/>
        <w:tabs>
          <w:tab w:leader="none" w:pos="4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with the consent of the Minister of Finance, has the power to hold land situate in Bermuda not exceeding __________in all, including the following parcels:-</w:t>
      </w:r>
    </w:p>
    <w:p>
      <w:pPr>
        <w:spacing w:after="0" w:line="170"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492" w:hanging="492"/>
        <w:spacing w:after="0"/>
        <w:tabs>
          <w:tab w:leader="none" w:pos="4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authorized share capital of the Company is USD$1,875.55 divided into shares of USD$0.000017727 each.</w:t>
      </w:r>
    </w:p>
    <w:p>
      <w:pPr>
        <w:spacing w:after="0" w:line="225" w:lineRule="exact"/>
        <w:rPr>
          <w:rFonts w:ascii="Arial" w:cs="Arial" w:eastAsia="Arial" w:hAnsi="Arial"/>
          <w:sz w:val="18"/>
          <w:szCs w:val="18"/>
          <w:color w:val="auto"/>
        </w:rPr>
      </w:pPr>
    </w:p>
    <w:p>
      <w:pPr>
        <w:ind w:left="492" w:right="5740" w:hanging="492"/>
        <w:spacing w:after="0" w:line="500" w:lineRule="auto"/>
        <w:tabs>
          <w:tab w:leader="none" w:pos="4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objects for which the Company is formed and incorporated are: - Unrestricted</w:t>
      </w:r>
    </w:p>
    <w:p>
      <w:pPr>
        <w:spacing w:after="0" w:line="1" w:lineRule="exact"/>
        <w:rPr>
          <w:rFonts w:ascii="Arial" w:cs="Arial" w:eastAsia="Arial" w:hAnsi="Arial"/>
          <w:sz w:val="18"/>
          <w:szCs w:val="18"/>
          <w:color w:val="auto"/>
        </w:rPr>
      </w:pPr>
    </w:p>
    <w:p>
      <w:pPr>
        <w:ind w:left="492" w:hanging="492"/>
        <w:spacing w:after="0"/>
        <w:tabs>
          <w:tab w:leader="none" w:pos="4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are provisions regarding the powers of the Company: -</w:t>
      </w:r>
    </w:p>
    <w:p>
      <w:pPr>
        <w:spacing w:after="0" w:line="225" w:lineRule="exact"/>
        <w:rPr>
          <w:rFonts w:ascii="Arial" w:cs="Arial" w:eastAsia="Arial" w:hAnsi="Arial"/>
          <w:sz w:val="18"/>
          <w:szCs w:val="18"/>
          <w:color w:val="auto"/>
        </w:rPr>
      </w:pPr>
    </w:p>
    <w:p>
      <w:pPr>
        <w:ind w:left="1152" w:hanging="641"/>
        <w:spacing w:after="0"/>
        <w:tabs>
          <w:tab w:leader="none" w:pos="1152" w:val="left"/>
        </w:tabs>
        <w:numPr>
          <w:ilvl w:val="1"/>
          <w:numId w:val="4"/>
        </w:numPr>
        <w:rPr>
          <w:rFonts w:ascii="Arial" w:cs="Arial" w:eastAsia="Arial" w:hAnsi="Arial"/>
          <w:sz w:val="18"/>
          <w:szCs w:val="18"/>
          <w:color w:val="auto"/>
        </w:rPr>
      </w:pPr>
      <w:r>
        <w:rPr>
          <w:rFonts w:ascii="Arial" w:cs="Arial" w:eastAsia="Arial" w:hAnsi="Arial"/>
          <w:sz w:val="18"/>
          <w:szCs w:val="18"/>
          <w:color w:val="auto"/>
        </w:rPr>
        <w:t>has the powers of a natural person;</w:t>
      </w:r>
    </w:p>
    <w:p>
      <w:pPr>
        <w:spacing w:after="0" w:line="225" w:lineRule="exact"/>
        <w:rPr>
          <w:rFonts w:ascii="Arial" w:cs="Arial" w:eastAsia="Arial" w:hAnsi="Arial"/>
          <w:sz w:val="18"/>
          <w:szCs w:val="18"/>
          <w:color w:val="auto"/>
        </w:rPr>
      </w:pPr>
    </w:p>
    <w:p>
      <w:pPr>
        <w:ind w:left="1152" w:right="420" w:hanging="641"/>
        <w:spacing w:after="0" w:line="277" w:lineRule="auto"/>
        <w:tabs>
          <w:tab w:leader="none" w:pos="1152" w:val="left"/>
        </w:tabs>
        <w:numPr>
          <w:ilvl w:val="1"/>
          <w:numId w:val="4"/>
        </w:numPr>
        <w:rPr>
          <w:rFonts w:ascii="Arial" w:cs="Arial" w:eastAsia="Arial" w:hAnsi="Arial"/>
          <w:sz w:val="18"/>
          <w:szCs w:val="18"/>
          <w:color w:val="auto"/>
        </w:rPr>
      </w:pPr>
      <w:r>
        <w:rPr>
          <w:rFonts w:ascii="Arial" w:cs="Arial" w:eastAsia="Arial" w:hAnsi="Arial"/>
          <w:sz w:val="18"/>
          <w:szCs w:val="18"/>
          <w:color w:val="auto"/>
        </w:rPr>
        <w:t>subject to the provisions of Section 42 of the Companies Act 1981, has the power to issue preference shares which at the option of the holders thereof are to be liable to be redeemed;</w:t>
      </w:r>
    </w:p>
    <w:p>
      <w:pPr>
        <w:spacing w:after="0" w:line="170" w:lineRule="exact"/>
        <w:rPr>
          <w:rFonts w:ascii="Arial" w:cs="Arial" w:eastAsia="Arial" w:hAnsi="Arial"/>
          <w:sz w:val="18"/>
          <w:szCs w:val="18"/>
          <w:color w:val="auto"/>
        </w:rPr>
      </w:pPr>
    </w:p>
    <w:p>
      <w:pPr>
        <w:ind w:left="1152" w:hanging="641"/>
        <w:spacing w:after="0"/>
        <w:tabs>
          <w:tab w:leader="none" w:pos="1152" w:val="left"/>
        </w:tabs>
        <w:numPr>
          <w:ilvl w:val="1"/>
          <w:numId w:val="4"/>
        </w:numPr>
        <w:rPr>
          <w:rFonts w:ascii="Arial" w:cs="Arial" w:eastAsia="Arial" w:hAnsi="Arial"/>
          <w:sz w:val="18"/>
          <w:szCs w:val="18"/>
          <w:color w:val="auto"/>
        </w:rPr>
      </w:pPr>
      <w:r>
        <w:rPr>
          <w:rFonts w:ascii="Arial" w:cs="Arial" w:eastAsia="Arial" w:hAnsi="Arial"/>
          <w:sz w:val="18"/>
          <w:szCs w:val="18"/>
          <w:color w:val="auto"/>
        </w:rPr>
        <w:t>has the power to purchase its own shares in accordance with the provisions of Section 42A of the Companies Act 1981; and</w:t>
      </w:r>
    </w:p>
    <w:p>
      <w:pPr>
        <w:spacing w:after="0" w:line="225" w:lineRule="exact"/>
        <w:rPr>
          <w:rFonts w:ascii="Arial" w:cs="Arial" w:eastAsia="Arial" w:hAnsi="Arial"/>
          <w:sz w:val="18"/>
          <w:szCs w:val="18"/>
          <w:color w:val="auto"/>
        </w:rPr>
      </w:pPr>
    </w:p>
    <w:p>
      <w:pPr>
        <w:ind w:left="1152" w:right="280" w:hanging="641"/>
        <w:spacing w:after="0" w:line="277" w:lineRule="auto"/>
        <w:tabs>
          <w:tab w:leader="none" w:pos="1152" w:val="left"/>
        </w:tabs>
        <w:numPr>
          <w:ilvl w:val="1"/>
          <w:numId w:val="4"/>
        </w:numPr>
        <w:rPr>
          <w:rFonts w:ascii="Arial" w:cs="Arial" w:eastAsia="Arial" w:hAnsi="Arial"/>
          <w:sz w:val="18"/>
          <w:szCs w:val="18"/>
          <w:color w:val="auto"/>
        </w:rPr>
      </w:pPr>
      <w:r>
        <w:rPr>
          <w:rFonts w:ascii="Arial" w:cs="Arial" w:eastAsia="Arial" w:hAnsi="Arial"/>
          <w:sz w:val="18"/>
          <w:szCs w:val="18"/>
          <w:color w:val="auto"/>
        </w:rPr>
        <w:t>has the power to acquire its own shares to be held as treasury shares in accordance with the provisions of Section 42B of the Companies Act 1981.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Signed by each subscriber in the presence of at least one witness attesting the signature thereof: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422275</wp:posOffset>
            </wp:positionV>
            <wp:extent cx="71577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276225</wp:posOffset>
            </wp:positionV>
            <wp:extent cx="7157720"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2020"/>
        <w:spacing w:after="0"/>
        <w:tabs>
          <w:tab w:leader="none" w:pos="8300" w:val="left"/>
        </w:tabs>
        <w:rPr>
          <w:sz w:val="20"/>
          <w:szCs w:val="20"/>
          <w:color w:val="auto"/>
        </w:rPr>
      </w:pPr>
      <w:r>
        <w:rPr>
          <w:rFonts w:ascii="Arial" w:cs="Arial" w:eastAsia="Arial" w:hAnsi="Arial"/>
          <w:sz w:val="18"/>
          <w:szCs w:val="18"/>
          <w:color w:val="auto"/>
        </w:rPr>
        <w:t>(Subscribers)</w:t>
      </w:r>
      <w:r>
        <w:rPr>
          <w:sz w:val="20"/>
          <w:szCs w:val="20"/>
          <w:color w:val="auto"/>
        </w:rPr>
        <w:tab/>
      </w:r>
      <w:r>
        <w:rPr>
          <w:rFonts w:ascii="Arial" w:cs="Arial" w:eastAsia="Arial" w:hAnsi="Arial"/>
          <w:sz w:val="18"/>
          <w:szCs w:val="18"/>
          <w:color w:val="auto"/>
        </w:rPr>
        <w:t>(Witnesses)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SUBSCRIBED this 2nd day of February,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42545"/>
                    </a:xfrm>
                    <a:prstGeom prst="rect">
                      <a:avLst/>
                    </a:prstGeom>
                    <a:noFill/>
                  </pic:spPr>
                </pic:pic>
              </a:graphicData>
            </a:graphic>
          </wp:anchor>
        </w:drawing>
        <w:t>Exhibit 3.2</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AMENDED AND RESTATED BYE-LAWS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MYOVANT SCIENCES LTD.</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(Adopted by a Resolution dated March 7, 2023 and Effective as of March 10, 2023)</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Bermuda Office</w:t>
      </w:r>
    </w:p>
    <w:p>
      <w:pPr>
        <w:spacing w:after="0" w:line="234" w:lineRule="auto"/>
        <w:rPr>
          <w:sz w:val="20"/>
          <w:szCs w:val="20"/>
          <w:color w:val="auto"/>
        </w:rPr>
      </w:pPr>
      <w:r>
        <w:rPr>
          <w:rFonts w:ascii="Arial" w:cs="Arial" w:eastAsia="Arial" w:hAnsi="Arial"/>
          <w:sz w:val="18"/>
          <w:szCs w:val="18"/>
          <w:color w:val="auto"/>
        </w:rPr>
        <w:t>Canon’s Court</w:t>
      </w:r>
    </w:p>
    <w:p>
      <w:pPr>
        <w:spacing w:after="0" w:line="235" w:lineRule="auto"/>
        <w:rPr>
          <w:sz w:val="20"/>
          <w:szCs w:val="20"/>
          <w:color w:val="auto"/>
        </w:rPr>
      </w:pPr>
      <w:r>
        <w:rPr>
          <w:rFonts w:ascii="Arial" w:cs="Arial" w:eastAsia="Arial" w:hAnsi="Arial"/>
          <w:sz w:val="18"/>
          <w:szCs w:val="18"/>
          <w:color w:val="auto"/>
        </w:rPr>
        <w:t>22 Victoria Street</w:t>
      </w:r>
    </w:p>
    <w:p>
      <w:pPr>
        <w:spacing w:after="0" w:line="235" w:lineRule="auto"/>
        <w:rPr>
          <w:sz w:val="20"/>
          <w:szCs w:val="20"/>
          <w:color w:val="auto"/>
        </w:rPr>
      </w:pPr>
      <w:r>
        <w:rPr>
          <w:rFonts w:ascii="Arial" w:cs="Arial" w:eastAsia="Arial" w:hAnsi="Arial"/>
          <w:sz w:val="18"/>
          <w:szCs w:val="18"/>
          <w:color w:val="auto"/>
        </w:rPr>
        <w:t>Hamilton HM 12</w:t>
      </w:r>
    </w:p>
    <w:p>
      <w:pPr>
        <w:spacing w:after="0"/>
        <w:rPr>
          <w:sz w:val="20"/>
          <w:szCs w:val="20"/>
          <w:color w:val="auto"/>
        </w:rPr>
      </w:pPr>
      <w:r>
        <w:rPr>
          <w:rFonts w:ascii="Arial" w:cs="Arial" w:eastAsia="Arial" w:hAnsi="Arial"/>
          <w:sz w:val="18"/>
          <w:szCs w:val="18"/>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4060" w:type="dxa"/>
            <w:vAlign w:val="bottom"/>
          </w:tcPr>
          <w:p>
            <w:pPr>
              <w:spacing w:after="0"/>
              <w:rPr>
                <w:sz w:val="20"/>
                <w:szCs w:val="20"/>
                <w:color w:val="auto"/>
              </w:rPr>
            </w:pPr>
          </w:p>
        </w:tc>
      </w:tr>
      <w:tr>
        <w:trPr>
          <w:trHeight w:val="405"/>
        </w:trPr>
        <w:tc>
          <w:tcPr>
            <w:tcW w:w="7180" w:type="dxa"/>
            <w:vAlign w:val="bottom"/>
          </w:tcPr>
          <w:p>
            <w:pPr>
              <w:spacing w:after="0"/>
              <w:rPr>
                <w:sz w:val="20"/>
                <w:szCs w:val="20"/>
                <w:color w:val="auto"/>
              </w:rPr>
            </w:pPr>
            <w:r>
              <w:rPr>
                <w:rFonts w:ascii="Arial" w:cs="Arial" w:eastAsia="Arial" w:hAnsi="Arial"/>
                <w:sz w:val="18"/>
                <w:szCs w:val="18"/>
                <w:b w:val="1"/>
                <w:bCs w:val="1"/>
                <w:color w:val="auto"/>
              </w:rPr>
              <w:t>Bye-Law</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Interpretation</w:t>
            </w:r>
          </w:p>
        </w:tc>
        <w:tc>
          <w:tcPr>
            <w:tcW w:w="4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General Meetings</w:t>
            </w:r>
          </w:p>
        </w:tc>
        <w:tc>
          <w:tcPr>
            <w:tcW w:w="4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4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Proceedings at General Meetings</w:t>
            </w:r>
          </w:p>
        </w:tc>
        <w:tc>
          <w:tcPr>
            <w:tcW w:w="4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Voting</w:t>
            </w:r>
          </w:p>
        </w:tc>
        <w:tc>
          <w:tcPr>
            <w:tcW w:w="4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Proxies and Corporate Representatives</w:t>
            </w:r>
          </w:p>
        </w:tc>
        <w:tc>
          <w:tcPr>
            <w:tcW w:w="4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Written Resolutions of the Sole Member</w:t>
            </w:r>
          </w:p>
        </w:tc>
        <w:tc>
          <w:tcPr>
            <w:tcW w:w="4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Appointment and Removal of Directors</w:t>
            </w:r>
          </w:p>
        </w:tc>
        <w:tc>
          <w:tcPr>
            <w:tcW w:w="4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Register of Directors and Officers</w:t>
            </w:r>
          </w:p>
        </w:tc>
        <w:tc>
          <w:tcPr>
            <w:tcW w:w="4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Resignation and Disqualification of Directors</w:t>
            </w:r>
          </w:p>
        </w:tc>
        <w:tc>
          <w:tcPr>
            <w:tcW w:w="4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Alternate Directors</w:t>
            </w:r>
          </w:p>
        </w:tc>
        <w:tc>
          <w:tcPr>
            <w:tcW w:w="4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4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Directors’ Interests</w:t>
            </w:r>
          </w:p>
        </w:tc>
        <w:tc>
          <w:tcPr>
            <w:tcW w:w="4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Role and Powers of the Board</w:t>
            </w:r>
          </w:p>
        </w:tc>
        <w:tc>
          <w:tcPr>
            <w:tcW w:w="4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Proceedings of the Board</w:t>
            </w:r>
          </w:p>
        </w:tc>
        <w:tc>
          <w:tcPr>
            <w:tcW w:w="4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Officers</w:t>
            </w:r>
          </w:p>
        </w:tc>
        <w:tc>
          <w:tcPr>
            <w:tcW w:w="4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Secretary and Resident Representative</w:t>
            </w:r>
          </w:p>
        </w:tc>
        <w:tc>
          <w:tcPr>
            <w:tcW w:w="4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Issue of Shares</w:t>
            </w:r>
          </w:p>
        </w:tc>
        <w:tc>
          <w:tcPr>
            <w:tcW w:w="4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Purchase of Shares</w:t>
            </w:r>
          </w:p>
        </w:tc>
        <w:tc>
          <w:tcPr>
            <w:tcW w:w="4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Variation of Share Rights</w:t>
            </w:r>
          </w:p>
        </w:tc>
        <w:tc>
          <w:tcPr>
            <w:tcW w:w="4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Share Certificates</w:t>
            </w:r>
          </w:p>
        </w:tc>
        <w:tc>
          <w:tcPr>
            <w:tcW w:w="4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Non-Recognition of Trusts</w:t>
            </w:r>
          </w:p>
        </w:tc>
        <w:tc>
          <w:tcPr>
            <w:tcW w:w="4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Lien</w:t>
            </w:r>
          </w:p>
        </w:tc>
        <w:tc>
          <w:tcPr>
            <w:tcW w:w="4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Calls on Shares</w:t>
            </w:r>
          </w:p>
        </w:tc>
        <w:tc>
          <w:tcPr>
            <w:tcW w:w="4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Forfeiture of Shares</w:t>
            </w:r>
          </w:p>
        </w:tc>
        <w:tc>
          <w:tcPr>
            <w:tcW w:w="4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Register of Members</w:t>
            </w:r>
          </w:p>
        </w:tc>
        <w:tc>
          <w:tcPr>
            <w:tcW w:w="4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Transfer of Shares</w:t>
            </w:r>
          </w:p>
        </w:tc>
        <w:tc>
          <w:tcPr>
            <w:tcW w:w="4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Increase of Capital</w:t>
            </w:r>
          </w:p>
        </w:tc>
        <w:tc>
          <w:tcPr>
            <w:tcW w:w="4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Alteration of Capital</w:t>
            </w:r>
          </w:p>
        </w:tc>
        <w:tc>
          <w:tcPr>
            <w:tcW w:w="4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Reduction of Capital</w:t>
            </w:r>
          </w:p>
        </w:tc>
        <w:tc>
          <w:tcPr>
            <w:tcW w:w="4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Dividends and Other Payments</w:t>
            </w:r>
          </w:p>
        </w:tc>
        <w:tc>
          <w:tcPr>
            <w:tcW w:w="4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Reserves</w:t>
            </w:r>
          </w:p>
        </w:tc>
        <w:tc>
          <w:tcPr>
            <w:tcW w:w="4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Capitalisation of Profits</w:t>
            </w:r>
          </w:p>
        </w:tc>
        <w:tc>
          <w:tcPr>
            <w:tcW w:w="4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Record Date</w:t>
            </w:r>
          </w:p>
        </w:tc>
        <w:tc>
          <w:tcPr>
            <w:tcW w:w="4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Accounting Records</w:t>
            </w:r>
          </w:p>
        </w:tc>
        <w:tc>
          <w:tcPr>
            <w:tcW w:w="4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Service of Notices and Documents</w:t>
            </w:r>
          </w:p>
        </w:tc>
        <w:tc>
          <w:tcPr>
            <w:tcW w:w="4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7180" w:type="dxa"/>
            <w:vAlign w:val="bottom"/>
          </w:tcPr>
          <w:p>
            <w:pPr>
              <w:spacing w:after="0"/>
              <w:rPr>
                <w:sz w:val="20"/>
                <w:szCs w:val="20"/>
                <w:color w:val="auto"/>
              </w:rPr>
            </w:pPr>
            <w:r>
              <w:rPr>
                <w:rFonts w:ascii="Arial" w:cs="Arial" w:eastAsia="Arial" w:hAnsi="Arial"/>
                <w:sz w:val="18"/>
                <w:szCs w:val="18"/>
                <w:color w:val="auto"/>
              </w:rPr>
              <w:t>Indemnity</w:t>
            </w:r>
          </w:p>
        </w:tc>
        <w:tc>
          <w:tcPr>
            <w:tcW w:w="4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1"/>
        </w:trPr>
        <w:tc>
          <w:tcPr>
            <w:tcW w:w="7180" w:type="dxa"/>
            <w:vAlign w:val="bottom"/>
          </w:tcPr>
          <w:p>
            <w:pPr>
              <w:spacing w:after="0"/>
              <w:rPr>
                <w:sz w:val="20"/>
                <w:szCs w:val="20"/>
                <w:color w:val="auto"/>
              </w:rPr>
            </w:pPr>
            <w:r>
              <w:rPr>
                <w:rFonts w:ascii="Arial" w:cs="Arial" w:eastAsia="Arial" w:hAnsi="Arial"/>
                <w:sz w:val="18"/>
                <w:szCs w:val="18"/>
                <w:color w:val="auto"/>
              </w:rPr>
              <w:t>Continuation</w:t>
            </w:r>
          </w:p>
        </w:tc>
        <w:tc>
          <w:tcPr>
            <w:tcW w:w="4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533"/>
        </w:trPr>
        <w:tc>
          <w:tcPr>
            <w:tcW w:w="71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AMENDED AND RESTATED BYE-LAWS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MYOVANT SCIENCES LTD.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a Resolution dated March 7, 2023 and Effective as of March 10, 2023)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20" w:lineRule="exact"/>
        <w:rPr>
          <w:sz w:val="20"/>
          <w:szCs w:val="20"/>
          <w:color w:val="auto"/>
        </w:rPr>
      </w:pPr>
    </w:p>
    <w:p>
      <w:pPr>
        <w:ind w:left="660" w:right="1700" w:hanging="652"/>
        <w:spacing w:after="0" w:line="4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these Bye-Laws, the following terms shall have the following meanings unless the context otherwise requires: </w:t>
      </w:r>
      <w:r>
        <w:rPr>
          <w:rFonts w:ascii="Arial" w:cs="Arial" w:eastAsia="Arial" w:hAnsi="Arial"/>
          <w:sz w:val="18"/>
          <w:szCs w:val="18"/>
          <w:b w:val="1"/>
          <w:bCs w:val="1"/>
          <w:color w:val="auto"/>
        </w:rPr>
        <w:t>Auditor</w:t>
      </w:r>
      <w:r>
        <w:rPr>
          <w:rFonts w:ascii="Arial" w:cs="Arial" w:eastAsia="Arial" w:hAnsi="Arial"/>
          <w:sz w:val="18"/>
          <w:szCs w:val="18"/>
          <w:color w:val="auto"/>
        </w:rPr>
        <w:t>: the auditors for the time being of the Company;</w:t>
      </w:r>
    </w:p>
    <w:p>
      <w:pPr>
        <w:spacing w:after="0" w:line="1" w:lineRule="exact"/>
        <w:rPr>
          <w:rFonts w:ascii="Arial" w:cs="Arial" w:eastAsia="Arial" w:hAnsi="Arial"/>
          <w:sz w:val="18"/>
          <w:szCs w:val="18"/>
          <w:color w:val="auto"/>
        </w:rPr>
      </w:pPr>
    </w:p>
    <w:p>
      <w:pPr>
        <w:ind w:left="660" w:right="20"/>
        <w:spacing w:after="0" w:line="370" w:lineRule="auto"/>
        <w:rPr>
          <w:rFonts w:ascii="Arial" w:cs="Arial" w:eastAsia="Arial" w:hAnsi="Arial"/>
          <w:sz w:val="18"/>
          <w:szCs w:val="18"/>
          <w:color w:val="auto"/>
        </w:rPr>
      </w:pPr>
      <w:r>
        <w:rPr>
          <w:rFonts w:ascii="Arial" w:cs="Arial" w:eastAsia="Arial" w:hAnsi="Arial"/>
          <w:sz w:val="18"/>
          <w:szCs w:val="18"/>
          <w:b w:val="1"/>
          <w:bCs w:val="1"/>
          <w:color w:val="auto"/>
        </w:rPr>
        <w:t>Board</w:t>
      </w:r>
      <w:r>
        <w:rPr>
          <w:rFonts w:ascii="Arial" w:cs="Arial" w:eastAsia="Arial" w:hAnsi="Arial"/>
          <w:sz w:val="18"/>
          <w:szCs w:val="18"/>
          <w:color w:val="auto"/>
        </w:rPr>
        <w:t>: the Directors of the Company appointed or elected pursuant to these Bye-Laws and acting by resolution as provided for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Companies Acts and in these Bye-Laws or the Directors present at a meeting of Directors at which there is a quorum; </w:t>
      </w:r>
      <w:r>
        <w:rPr>
          <w:rFonts w:ascii="Arial" w:cs="Arial" w:eastAsia="Arial" w:hAnsi="Arial"/>
          <w:sz w:val="18"/>
          <w:szCs w:val="18"/>
          <w:b w:val="1"/>
          <w:bCs w:val="1"/>
          <w:color w:val="auto"/>
        </w:rPr>
        <w:t>Committee</w:t>
      </w:r>
      <w:r>
        <w:rPr>
          <w:rFonts w:ascii="Arial" w:cs="Arial" w:eastAsia="Arial" w:hAnsi="Arial"/>
          <w:sz w:val="18"/>
          <w:szCs w:val="18"/>
          <w:color w:val="auto"/>
        </w:rPr>
        <w:t>: a committee of one or more persons appointed by the Board;</w:t>
      </w:r>
    </w:p>
    <w:p>
      <w:pPr>
        <w:spacing w:after="0" w:line="55" w:lineRule="exact"/>
        <w:rPr>
          <w:rFonts w:ascii="Arial" w:cs="Arial" w:eastAsia="Arial" w:hAnsi="Arial"/>
          <w:sz w:val="18"/>
          <w:szCs w:val="18"/>
          <w:color w:val="auto"/>
        </w:rPr>
      </w:pPr>
    </w:p>
    <w:p>
      <w:pPr>
        <w:ind w:left="66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Companies Act</w:t>
      </w:r>
      <w:r>
        <w:rPr>
          <w:rFonts w:ascii="Arial" w:cs="Arial" w:eastAsia="Arial" w:hAnsi="Arial"/>
          <w:sz w:val="18"/>
          <w:szCs w:val="18"/>
          <w:color w:val="auto"/>
        </w:rPr>
        <w:t>: the Companies Act 1981 of Bermuda (as amended) and, together with every Bermuda statute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force insofar as the same applies to the Company, the “</w:t>
      </w:r>
      <w:r>
        <w:rPr>
          <w:rFonts w:ascii="Arial" w:cs="Arial" w:eastAsia="Arial" w:hAnsi="Arial"/>
          <w:sz w:val="18"/>
          <w:szCs w:val="18"/>
          <w:b w:val="1"/>
          <w:bCs w:val="1"/>
          <w:color w:val="auto"/>
        </w:rPr>
        <w:t>Companies Acts</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the above-named company;</w:t>
      </w:r>
    </w:p>
    <w:p>
      <w:pPr>
        <w:spacing w:after="0" w:line="198" w:lineRule="exact"/>
        <w:rPr>
          <w:rFonts w:ascii="Arial" w:cs="Arial" w:eastAsia="Arial" w:hAnsi="Arial"/>
          <w:sz w:val="18"/>
          <w:szCs w:val="18"/>
          <w:color w:val="auto"/>
        </w:rPr>
      </w:pPr>
    </w:p>
    <w:p>
      <w:pPr>
        <w:ind w:left="66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Directors</w:t>
      </w:r>
      <w:r>
        <w:rPr>
          <w:rFonts w:ascii="Arial" w:cs="Arial" w:eastAsia="Arial" w:hAnsi="Arial"/>
          <w:sz w:val="18"/>
          <w:szCs w:val="18"/>
          <w:color w:val="auto"/>
        </w:rPr>
        <w:t>: any person duly elected or appointed as a director of the Company, or alternate director and any person occupying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 of director of the Company by whatever name called;</w:t>
      </w:r>
    </w:p>
    <w:p>
      <w:pPr>
        <w:spacing w:after="0" w:line="1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Electronic Record</w:t>
      </w:r>
      <w:r>
        <w:rPr>
          <w:rFonts w:ascii="Arial" w:cs="Arial" w:eastAsia="Arial" w:hAnsi="Arial"/>
          <w:sz w:val="18"/>
          <w:szCs w:val="18"/>
          <w:color w:val="auto"/>
        </w:rPr>
        <w:t>: has the same meaning as in the Electronic Transactions Act 1999;</w:t>
      </w:r>
    </w:p>
    <w:p>
      <w:pPr>
        <w:spacing w:after="0" w:line="198" w:lineRule="exact"/>
        <w:rPr>
          <w:rFonts w:ascii="Arial" w:cs="Arial" w:eastAsia="Arial" w:hAnsi="Arial"/>
          <w:sz w:val="18"/>
          <w:szCs w:val="18"/>
          <w:color w:val="auto"/>
        </w:rPr>
      </w:pPr>
    </w:p>
    <w:p>
      <w:pPr>
        <w:jc w:val="both"/>
        <w:ind w:left="660"/>
        <w:spacing w:after="0" w:line="244" w:lineRule="auto"/>
        <w:rPr>
          <w:rFonts w:ascii="Arial" w:cs="Arial" w:eastAsia="Arial" w:hAnsi="Arial"/>
          <w:sz w:val="18"/>
          <w:szCs w:val="18"/>
          <w:color w:val="auto"/>
        </w:rPr>
      </w:pPr>
      <w:r>
        <w:rPr>
          <w:rFonts w:ascii="Arial" w:cs="Arial" w:eastAsia="Arial" w:hAnsi="Arial"/>
          <w:sz w:val="18"/>
          <w:szCs w:val="18"/>
          <w:b w:val="1"/>
          <w:bCs w:val="1"/>
          <w:color w:val="auto"/>
        </w:rPr>
        <w:t>Indemnified Person</w:t>
      </w:r>
      <w:r>
        <w:rPr>
          <w:rFonts w:ascii="Arial" w:cs="Arial" w:eastAsia="Arial" w:hAnsi="Arial"/>
          <w:sz w:val="18"/>
          <w:szCs w:val="18"/>
          <w:color w:val="auto"/>
        </w:rPr>
        <w:t>: each of the Directors, the Resident Representative, the Secretary and the other Officers (such term to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appointed to any Committee) acting in relation to any of the affairs of the Company or any subsidiary thereof and the liquidator, manager or trustee (if any) acting in relation to any of the affairs of the Company or any subsidiary thereof and every one of them (whether for the time being or formerly), and their heirs, executors and administrators, personal representatives, successors and assigns;</w:t>
      </w:r>
    </w:p>
    <w:p>
      <w:pPr>
        <w:spacing w:after="0" w:line="1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Member</w:t>
      </w:r>
      <w:r>
        <w:rPr>
          <w:rFonts w:ascii="Arial" w:cs="Arial" w:eastAsia="Arial" w:hAnsi="Arial"/>
          <w:sz w:val="18"/>
          <w:szCs w:val="18"/>
          <w:color w:val="auto"/>
        </w:rPr>
        <w:t>: has the same meaning as in the Companies Act;</w:t>
      </w:r>
    </w:p>
    <w:p>
      <w:pPr>
        <w:spacing w:after="0" w:line="19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Officer</w:t>
      </w:r>
      <w:r>
        <w:rPr>
          <w:rFonts w:ascii="Arial" w:cs="Arial" w:eastAsia="Arial" w:hAnsi="Arial"/>
          <w:sz w:val="18"/>
          <w:szCs w:val="18"/>
          <w:color w:val="auto"/>
        </w:rPr>
        <w:t>: a person appointed by the Board as an officer pursuant to these Bye-Laws but shall not include the Auditor;</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b w:val="1"/>
          <w:bCs w:val="1"/>
          <w:color w:val="auto"/>
        </w:rPr>
        <w:t>Register</w:t>
      </w:r>
      <w:r>
        <w:rPr>
          <w:rFonts w:ascii="Arial" w:cs="Arial" w:eastAsia="Arial" w:hAnsi="Arial"/>
          <w:sz w:val="18"/>
          <w:szCs w:val="18"/>
          <w:color w:val="auto"/>
        </w:rPr>
        <w:t>: the register of Members to be kept in accordance with the Companies Act maintained by the Company in Bermuda;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Registered Office</w:t>
      </w:r>
      <w:r>
        <w:rPr>
          <w:rFonts w:ascii="Arial" w:cs="Arial" w:eastAsia="Arial" w:hAnsi="Arial"/>
          <w:sz w:val="18"/>
          <w:szCs w:val="18"/>
          <w:color w:val="auto"/>
        </w:rPr>
        <w:t>: the registered office for the time being of the Company in Bermuda;</w:t>
      </w:r>
    </w:p>
    <w:p>
      <w:pPr>
        <w:spacing w:after="0" w:line="19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b w:val="1"/>
          <w:bCs w:val="1"/>
          <w:color w:val="auto"/>
        </w:rPr>
        <w:t>Resident Representative</w:t>
      </w:r>
      <w:r>
        <w:rPr>
          <w:rFonts w:ascii="Arial" w:cs="Arial" w:eastAsia="Arial" w:hAnsi="Arial"/>
          <w:sz w:val="18"/>
          <w:szCs w:val="18"/>
          <w:color w:val="auto"/>
        </w:rPr>
        <w:t>: (if any) the individual or the company appointed to perform the duties of resident representative set out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Companies Act and includes any assistant or deputy Resident Representative appointed by the Board to perform any of the duties of the Resident Representative;</w:t>
      </w:r>
    </w:p>
    <w:p>
      <w:pPr>
        <w:spacing w:after="0" w:line="155"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b w:val="1"/>
          <w:bCs w:val="1"/>
          <w:color w:val="auto"/>
        </w:rPr>
        <w:t>Resolution</w:t>
      </w:r>
      <w:r>
        <w:rPr>
          <w:rFonts w:ascii="Arial" w:cs="Arial" w:eastAsia="Arial" w:hAnsi="Arial"/>
          <w:sz w:val="18"/>
          <w:szCs w:val="18"/>
          <w:color w:val="auto"/>
        </w:rPr>
        <w:t>: a resolution of a general meeting passed by the Sole Member present in person or by proxy at the meeting, or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adopted by the Sole Member in accordance with the Companies Act;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Seal</w:t>
      </w:r>
      <w:r>
        <w:rPr>
          <w:rFonts w:ascii="Arial" w:cs="Arial" w:eastAsia="Arial" w:hAnsi="Arial"/>
          <w:sz w:val="18"/>
          <w:szCs w:val="18"/>
          <w:color w:val="auto"/>
        </w:rPr>
        <w:t>: the common seal of the Company (if any) and includes every authorised duplicate seal;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Secretary</w:t>
      </w:r>
      <w:r>
        <w:rPr>
          <w:rFonts w:ascii="Arial" w:cs="Arial" w:eastAsia="Arial" w:hAnsi="Arial"/>
          <w:sz w:val="18"/>
          <w:szCs w:val="18"/>
          <w:color w:val="auto"/>
        </w:rPr>
        <w:t>: the secretary for the time being of the Company and any person appointed to perform any of the duties of the secretary;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w:t>
      </w:r>
      <w:r>
        <w:rPr>
          <w:rFonts w:ascii="Arial" w:cs="Arial" w:eastAsia="Arial" w:hAnsi="Arial"/>
          <w:sz w:val="18"/>
          <w:szCs w:val="18"/>
          <w:color w:val="auto"/>
        </w:rPr>
        <w:t>: a share in the capital of the Company and includes stock, treasury shares and a fraction of a share/stock;</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Sumitovant </w:t>
      </w:r>
      <w:r>
        <w:rPr>
          <w:rFonts w:ascii="Arial" w:cs="Arial" w:eastAsia="Arial" w:hAnsi="Arial"/>
          <w:sz w:val="18"/>
          <w:szCs w:val="18"/>
          <w:color w:val="auto"/>
        </w:rPr>
        <w:t>or</w:t>
      </w:r>
      <w:r>
        <w:rPr>
          <w:rFonts w:ascii="Arial" w:cs="Arial" w:eastAsia="Arial" w:hAnsi="Arial"/>
          <w:sz w:val="18"/>
          <w:szCs w:val="18"/>
          <w:b w:val="1"/>
          <w:bCs w:val="1"/>
          <w:color w:val="auto"/>
        </w:rPr>
        <w:t xml:space="preserve"> Sole Member</w:t>
      </w:r>
      <w:r>
        <w:rPr>
          <w:rFonts w:ascii="Arial" w:cs="Arial" w:eastAsia="Arial" w:hAnsi="Arial"/>
          <w:sz w:val="18"/>
          <w:szCs w:val="18"/>
          <w:color w:val="auto"/>
        </w:rPr>
        <w:t>: Sumitovant Biopharma Ltd.; and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these Bye-Laws</w:t>
      </w:r>
      <w:r>
        <w:rPr>
          <w:rFonts w:ascii="Arial" w:cs="Arial" w:eastAsia="Arial" w:hAnsi="Arial"/>
          <w:sz w:val="18"/>
          <w:szCs w:val="18"/>
          <w:color w:val="auto"/>
        </w:rPr>
        <w:t>: the bye-laws of the Company in their present form.</w:t>
      </w:r>
    </w:p>
    <w:p>
      <w:pPr>
        <w:spacing w:after="0" w:line="22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For the purposes of these Bye-Laws, the Sole Member (or any person which later becomes a Member) shall be deemed to be present in person at a general meeting if, in accordance with the Companies Acts, its authorised representative(s) is/are present.</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For the purposes of these Bye-Laws, a person which is a Director shall be deemed to be present in person at a meeting of the Board if a person authorised to attend on its behalf is present, and shall be deemed to discharge its duties and carry out any actions required under these Bye-Laws and the Companies Acts, including the signing and execution of documents, deeds and other instruments, if a person authorised to act on its behalf so acts.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Words importing the singular number include the plural number and vice versa.</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Words importing the masculine gender include the feminine gender.</w:t>
      </w:r>
    </w:p>
    <w:p>
      <w:pPr>
        <w:spacing w:after="0" w:line="19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Words importing persons include any company, association or body of persons whether corporate or unincorporate and natural persons.</w:t>
      </w:r>
    </w:p>
    <w:p>
      <w:pPr>
        <w:spacing w:after="0" w:line="183"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Whenever the words “include”, “includes” or “including” are used in these Bye-Laws, they shall be deemed to be followed by the words “without limitation.”</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left="660" w:right="20" w:hanging="647"/>
        <w:spacing w:after="0" w:line="245" w:lineRule="auto"/>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Any reference to writing includes all modes of representing or reproducing words in a visible form, including in the form of an Electronic Record.</w:t>
      </w:r>
    </w:p>
    <w:p>
      <w:pPr>
        <w:spacing w:after="0" w:line="184"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Unless the context otherwise requires, words and expressions defined in the Companies Acts bear the same meanings in these Bye-Laws.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Headings are used for convenience only and shall not affect the construction of these Bye-Laws.</w:t>
      </w:r>
    </w:p>
    <w:p>
      <w:pPr>
        <w:spacing w:after="0" w:line="198"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For the avoidance of doubt, the Company shall initially have one Member, Sumitovant. Any reference in the Bye-Laws to a Member or the Members shall initially only be to Sumitovant.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MEETINGS</w:t>
      </w:r>
    </w:p>
    <w:p>
      <w:pPr>
        <w:spacing w:after="0" w:line="220" w:lineRule="exact"/>
        <w:rPr>
          <w:sz w:val="20"/>
          <w:szCs w:val="20"/>
          <w:color w:val="auto"/>
        </w:rPr>
      </w:pPr>
    </w:p>
    <w:p>
      <w:pPr>
        <w:jc w:val="both"/>
        <w:ind w:left="660" w:hanging="652"/>
        <w:spacing w:after="0" w:line="23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Save and to the extent that the Company elects to dispense with the holding of one or more of its annual general meetings in the manner permitted by the Companies Act, the Board shall convene and the Company shall hold general meetings as annual general meetings in accordance with the requirements of the Companies Act at such times and places as the Board shall appoint. The Board may, whenever it thinks fit, and shall, when required by the Companies Act, convene general meetings other than annual general meetings which shall be called special general meetings.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20" w:lineRule="exact"/>
        <w:rPr>
          <w:sz w:val="20"/>
          <w:szCs w:val="20"/>
          <w:color w:val="auto"/>
        </w:rPr>
      </w:pPr>
    </w:p>
    <w:p>
      <w:pPr>
        <w:jc w:val="both"/>
        <w:ind w:left="660" w:hanging="652"/>
        <w:spacing w:after="0" w:line="23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Bye-Laws 129 through 132 inclusive, at least five clear days’ notice in writing (exclusive of the day on which the notice is served or deemed to be served, and of the day for which the notice is given) shall be given of any annual general meeting and a special general meeting shall be called by not less than five days’ notice in writing. Every notice shall specify the place, day and hour of the meeting and, in the case of special general meetings, the general nature of the business to be considered, and shall be given in the manner provided in these Bye-Laws or in such other manner (if any) as may be prescribed by the Company, to such persons as are entitled to receive such notices from the Company.</w:t>
      </w:r>
    </w:p>
    <w:p>
      <w:pPr>
        <w:spacing w:after="0" w:line="191"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that a general meeting of the Company is called by shorter notice than that specified in this Bye-Law, it shall be deemed to have been duly called if it is so agreed by the Sole Member.</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(in cases where instruments of proxy are sent out with the notice) the accidental omission to send such instrument of proxy to, or the non receipt of a notice of a meeting by, any person entitled to receive notice shall not invalidate the proceedings at any meeting.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may cancel or postpone a general meeting before it has been convened and notice of such cancellation or postponement shall be served in accordance with these Bye-Laws upon the Sole Member setting out, where the meeting is postponed to a specific date, notice of the new meeting in accordance with this Bye-Law.</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PROCEEDINGS AT GENERAL MEETINGS</w:t>
      </w:r>
    </w:p>
    <w:p>
      <w:pPr>
        <w:spacing w:after="0" w:line="219" w:lineRule="exact"/>
        <w:rPr>
          <w:sz w:val="20"/>
          <w:szCs w:val="20"/>
          <w:color w:val="auto"/>
        </w:rPr>
      </w:pPr>
    </w:p>
    <w:p>
      <w:pPr>
        <w:jc w:val="both"/>
        <w:ind w:left="660" w:hanging="652"/>
        <w:spacing w:after="0" w:line="23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the Companies Act, a general meeting may be held with only one individual present provided that the requirement for a quorum is satisfied. No business shall be transacted at any general meeting unless the Sole Member is present at the time that the meeting proceeds to business, but the absence of a quorum shall not preclude the appointment, choice or election of a chairperson, which shall not be treated as part of the business of the meeting. At any general meeting, the presence of the Sole Member alone shall constitute a quorum.</w:t>
      </w:r>
    </w:p>
    <w:p>
      <w:pPr>
        <w:spacing w:after="0" w:line="188" w:lineRule="exact"/>
        <w:rPr>
          <w:rFonts w:ascii="Arial" w:cs="Arial" w:eastAsia="Arial" w:hAnsi="Arial"/>
          <w:sz w:val="18"/>
          <w:szCs w:val="18"/>
          <w:color w:val="auto"/>
        </w:rPr>
      </w:pPr>
    </w:p>
    <w:p>
      <w:pPr>
        <w:jc w:val="both"/>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Sole Member may participate in any general meeting by such telephonic, electronic or other communication, facilities or means as permit all persons participating in the meeting to communicate with each other simultaneously and instantaneously, and participation in such a meeting shall constitute presence in person at such meeting.</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may, and at any general meeting, the chairperson of such meeting may, make any arrangement and impose any requirement or restriction he, she or it considers appropriate to ensure the security of a general meeting including requirements for evidence of identity to be produced by those attending the meeting, the searching of their personal property and the restriction of items that may be taken into the meeting place. The Board and, at any general meeting, the chairperson of such meeting, are entitled to refuse entry to a person who refuses to comply with any such arrangements, requirements or restrictions.</w:t>
      </w:r>
    </w:p>
    <w:p>
      <w:pPr>
        <w:spacing w:after="0" w:line="188"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within (5) five minutes (or such longer time as the chairperson of the meeting may determine to wait) after the time appointed for the meeting, a quorum is not present, the meeting, if convened upon the requisition of the Sole Member, shall be dissolved.</w:t>
      </w:r>
    </w:p>
    <w:p>
      <w:pPr>
        <w:spacing w:after="0" w:line="18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Director or, having delivered a written notice upon the Registered Office requiring that notices of meetings be sent to him or her or it, the Resident Representative shall be entitled to attend and speak at any general meeting of the Company.</w:t>
      </w:r>
    </w:p>
    <w:p>
      <w:pPr>
        <w:spacing w:after="0" w:line="183"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chairperson (if any) of the Board shall preside as chairperson at every general meeting of the Company. If there is no such chairperson, or if at any meeting he is not present within five minutes after the time appointed for holding the meeting or is unwilling to act as chairperson, the Directors present shall choose one of their number to act or, if only one Director is present, he shall preside as chairperson if willing to act. If no Director is present, or if each of the Directors present declines to take the chair, the persons present and entitled to vote shall elect one of their number to be chairperson.</w:t>
      </w:r>
    </w:p>
    <w:p>
      <w:pPr>
        <w:spacing w:after="0" w:line="188"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chairperson may, with the consent by resolution of a meeting at which a quorum is present (and shall if so directed by the meeting) adjourn the meeting from time to time and from place to place, but no business shall be transacted at any adjourned meeting except business which might lawfully have been transacted at the meeting from which the adjournment took place. When a meeting is adjourned for three months or more, notice of the adjourned meeting shall be given as in the case of an original meeting. Save as expressly provided by these Bye-Laws, it shall not be necessary to give any notice of an adjournment or of the business to be transacted at an adjourned meeting.</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VOTING</w:t>
      </w:r>
    </w:p>
    <w:p>
      <w:pPr>
        <w:spacing w:after="0" w:line="21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question proposed for consideration at any general meeting shall be decided on by the affirmative vote of the Sole Member.</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resolution proposed for consideration at any general meeting to approve the amalgamation or merger of the Company with any other person, wherever incorporated or organized, shall require the affirmative vote of the Sole Member, and the quorum for such meeting shall be that required by Bye-Law 7.</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any general meeting, a resolution put to the vote of the meeting shall be decided on a show of hands or by a count of votes received in the form of Electronic Records, unless before or on the declaration of the result of the show of hands or count of votes received as Electronic Records, or on the withdrawal of any other demand for a poll, a poll is demanded in accordance with the provisions of the Companies Acts.</w:t>
      </w:r>
    </w:p>
    <w:p>
      <w:pPr>
        <w:spacing w:after="0" w:line="191"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a poll is duly demanded and the demand is not withdrawn, a declaration by the chairperson that a resolution has, on a show of hands or count of votes received as Electronic Records, been carried or carried unanimously, or by a particular majority, or lost and an entry to that effect in the minutes of the proceedings of the Company shall be conclusive evidence of that fact, without proof of the number or proportion of the votes recorded in favour of, or against, that resolution. The demand for a poll may be withdrawn by the person or any persons making it at any time prior to the declaration of the result of the poll.</w:t>
      </w:r>
    </w:p>
    <w:p>
      <w:pPr>
        <w:spacing w:after="0" w:line="188"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chairperson directs, and the result of the poll shall be deemed to be the resolution of the meeting at which the poll was demanded.</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an equality of votes at a general meeting, whether on a show of hands or count of votes received as Electronic Records or on a poll, the chairperson of the meeting at which the show of hands or count of votes received as Electronic Records takes place or at which the poll is demanded, shall not be entitled to a second or casting vote and the resolution shall fail.</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poll demanded on the election of a chairperson, or on a question of adjournment, shall be taken forthwith. A poll demanded on any other question shall be taken in such manner and either forthwith or at such time (being not later than three (3) months after the date of the demand) and place as the chairperson shall direct. It shall not be necessary (unless the chairperson otherwise directs) for notice to be given of a poll.</w:t>
      </w:r>
    </w:p>
    <w:p>
      <w:pPr>
        <w:spacing w:after="0" w:line="191" w:lineRule="exact"/>
        <w:rPr>
          <w:rFonts w:ascii="Arial" w:cs="Arial" w:eastAsia="Arial" w:hAnsi="Arial"/>
          <w:sz w:val="18"/>
          <w:szCs w:val="18"/>
          <w:color w:val="auto"/>
        </w:rPr>
      </w:pPr>
    </w:p>
    <w:p>
      <w:pPr>
        <w:jc w:val="both"/>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demand for a poll shall not prevent the continuance of a meeting for the transaction of any business other than the question on which the poll has been demanded and it may be withdrawn at any time before the close of the meeting or the taking of the poll, whichever is the earlier.</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 poll, votes may be cast either personally or by proxy.</w:t>
      </w:r>
    </w:p>
    <w:p>
      <w:pPr>
        <w:spacing w:after="0" w:line="197"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a person entitled to more than one vote on a poll need not use all his or her votes or cast all the votes he or she uses in the same way.</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in the case of joint holders of a Share,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If applicable, a Member who is a patient for any purpose of any statute or applicable law relating to mental health or in respect of whom an order has been made by any court having jurisdiction for the protection or management of the affairs of persons incapable of managing their own affairs may vote, whether on a show of hands or on a poll, by his or her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of similar nature appointed by such court, and any such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may vote by proxy and may otherwise act and be treated as such Member for the purpose of the general meetings.</w:t>
      </w:r>
    </w:p>
    <w:p>
      <w:pPr>
        <w:spacing w:after="0" w:line="188"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Member, unless the Board otherwise determines, shall be entitled to vote at any general meeting unless all calls or other sums presently payable by him or her in respect of Shares in the Company have been paid.</w:t>
      </w:r>
    </w:p>
    <w:p>
      <w:pPr>
        <w:spacing w:after="0" w:line="183"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objection shall be raised as to the qualification of any voter or as to whether any votes have been properly counted except at the general meeting or adjourned general meeting at which the vote objected to is given or tendered and every vote not disallowed at the meeting shall be valid. Any objection made in due time and in accordance with these Bye-Laws shall be referred to the chairperson and shall only vitiate the decision of the meeting on any resolution if the chairperson decides that the same may have affected the decision of the meeting. The decision of the chairperson on such matters shall be final and conclusive.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AND CORPORATE REPRESENTATIVES</w:t>
      </w:r>
    </w:p>
    <w:p>
      <w:pPr>
        <w:spacing w:after="0" w:line="220" w:lineRule="exact"/>
        <w:rPr>
          <w:sz w:val="20"/>
          <w:szCs w:val="20"/>
          <w:color w:val="auto"/>
        </w:rPr>
      </w:pPr>
    </w:p>
    <w:p>
      <w:pPr>
        <w:ind w:left="660" w:hanging="652"/>
        <w:spacing w:after="0" w:line="24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instrument appointing a proxy or corporate representative shall be in writing under the hand of the Sole Member or its duly authorised representative. A proxy or corporate representative need not be a Member.</w:t>
      </w:r>
    </w:p>
    <w:p>
      <w:pPr>
        <w:spacing w:after="0" w:line="183"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instrument appointing a proxy or (if a corporation) representative may be in any usual or common form (or such other form as the Board may approve) and may be expressed to be for a particular meeting or any adjournment thereof or may appoint a standing proxy or (if a corporation) representative, which shall be valid for all general meetings and adjournments thereof or any written resolutions, as the case may be, until notice of revocation is received at the Registered Office or at such place or places as the Board may otherwise specify for the purpose.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jc w:val="both"/>
        <w:ind w:left="660" w:hanging="652"/>
        <w:spacing w:after="0" w:line="23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operation of a standing proxy or authorisation shall be suspended at any general meeting or adjournment thereof at which the Sole Member is present in person or by specially appointed proxy. The Board may require evidence as to the due execution and continuing validity of any standing proxy or authorisation and the operation of any such standing proxy or authorisation shall be deemed to be suspended until the Board determines that they have received such satisfactory evidence.</w:t>
      </w:r>
    </w:p>
    <w:p>
      <w:pPr>
        <w:spacing w:after="0" w:line="190"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Sole Member may appoint a proxy which shall be irrevocable in accordance with its terms and the holder thereof shall be the only person entitled to vote the relevant Shares at any general meeting at which the Sole Member is present. The Company shall give to the proxy holder notice of all general meetings and shall be obliged to recognise the holder of such proxy until such time as the holder notifies the Company in writing that the proxy is no longer in force.</w:t>
      </w:r>
    </w:p>
    <w:p>
      <w:pPr>
        <w:spacing w:after="0" w:line="191"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instrument appointing a corporate representative, and the power of attorney (if any) under which it is signed, together with such other evidence as to its due execution as the Board may from time to time require, shall be delivered at the Registered Office of the Company or at such place as may be specified in the notice convening the meeting or in any notice of any adjournment or, in either case or the case of a written resolution, in any document sent therewith prior to the holding of the relevant meeting or adjourned meeting at which the person named in the instrument proposes to vote or, in the case of a poll taken subsequently to the date of a meeting or adjourned meeting, before the time appointed for the taking of the poll, or, in the case of a written resolution, prior to the effective date of the written resolution.</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default of any of the provisions in these Bye-Laws to deliver any instrument of proxy or authorisation at the Registered Office of the Company or at such other place as is specified for that purpose in the notice convening the meeting, the instrument of proxy or authorisation shall not be treated as valid and the decision of the chairperson of any general meeting as to the validity of any appointments of a proxy shall be final.</w:t>
      </w:r>
    </w:p>
    <w:p>
      <w:pPr>
        <w:spacing w:after="0" w:line="191" w:lineRule="exact"/>
        <w:rPr>
          <w:rFonts w:ascii="Arial" w:cs="Arial" w:eastAsia="Arial" w:hAnsi="Arial"/>
          <w:sz w:val="18"/>
          <w:szCs w:val="18"/>
          <w:color w:val="auto"/>
        </w:rPr>
      </w:pPr>
    </w:p>
    <w:p>
      <w:pPr>
        <w:jc w:val="both"/>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Instruments of proxy or authorisation shall be in any common form or in such other form as the Board may approve and the Board may, if it thinks fit, send out with the notice of any meeting or any written resolution forms of instruments of proxy or authorisation for use at that meeting or in connection with that written resolution.</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 to speak at the meeting and to vote on any amendment of a written resolution or amendment of a resolution put to the meeting for which it is given as the proxy thinks fit. The instrument of proxy or authorisation shall, unless the contrary is stated therein, be valid as well for any adjournment of the meeting as for the meeting to which it relates.</w:t>
      </w:r>
    </w:p>
    <w:p>
      <w:pPr>
        <w:spacing w:after="0" w:line="191"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vote given in accordance with the terms of an instrument of proxy or authorisation shall be valid notwithstanding the previous death or unsoundness of mind of the principal, or revocation of the proxy or of the corporate authority, unless notice in writing of such death, unsoundness of mind or revocation was received by the Company at the Registered Office (or such other place as may be specified for the delivery of instruments of proxy or authorisation in the notice convening the meeting or other documents sent therewith) at least one hour before the commencement of the general meeting, or adjourned meeting, or the taking of the poll, or the day before the effective date of any written resolution at or for which the instrument or proxy is used.</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jc w:val="both"/>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the Companies Acts, the Board may at its discretion waive any of the provisions of these Bye-Laws relating to proxies or authorisations and, in particular, may accept any assurance as it thinks fit as to the right of any person to attend, speak and vote on behalf of any Member at general meetings or to sign written resolutions.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RESOLUTIONS OF THE SOLE MEMBER</w:t>
      </w:r>
    </w:p>
    <w:p>
      <w:pPr>
        <w:spacing w:after="0" w:line="220" w:lineRule="exact"/>
        <w:rPr>
          <w:sz w:val="20"/>
          <w:szCs w:val="20"/>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these Bye-Laws, anything which may be done by resolution of the Sole Member in general meeting may be done without a meeting by written resolution, signed by the Sole Member. Such written resolution may be signed by the Sole Member or its proxy or by its representative on behalf of the Sole Member, in as many counterparts as may be necessary.</w:t>
      </w:r>
    </w:p>
    <w:p>
      <w:pPr>
        <w:spacing w:after="0" w:line="18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Notice of any written resolution to be made under Bye-Law 38 shall be given to the Sole Member.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AND REMOVAL OF DIRECTORS</w:t>
      </w:r>
    </w:p>
    <w:p>
      <w:pPr>
        <w:spacing w:after="0" w:line="220" w:lineRule="exact"/>
        <w:rPr>
          <w:sz w:val="20"/>
          <w:szCs w:val="20"/>
          <w:color w:val="auto"/>
        </w:rPr>
      </w:pPr>
    </w:p>
    <w:p>
      <w:pPr>
        <w:jc w:val="both"/>
        <w:ind w:left="660" w:hanging="652"/>
        <w:spacing w:after="0" w:line="23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Directors shall be at least one (1) Director and not more than seven (7) Directors or such numbers in excess thereof as the Board or the Sole Member by Resolution may from time to time determine and, subject to the Companies Acts and these Bye-Laws, the Directors shall be elected or appointed by the Sole Member by Resolution. Each Director shall serve for such term as the Sole Member by Resolution may determine or, in the absence of such determination, until the termination of the next annual general meeting following their appointment. All Directors, upon election or appointment (except upon re-election at an annual general meeting), must provide written acceptance of their appointment (together with an executed but undated letter of resignation on the understanding it shall be dated by the Secretary upon receipt of a notice of removal of such director from the Sole Member in accordance with Bye-Law 44), in such form as the Board may think fit, by notice in writing to the Registered Office within thirty (30) days of their appointment.</w:t>
      </w:r>
    </w:p>
    <w:p>
      <w:pPr>
        <w:spacing w:after="0" w:line="19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case where the Company has no Directors, the Sole Member shall have the right, by notice in writing to the Secretary, to appoint a person to be a Director of the Company.</w:t>
      </w:r>
    </w:p>
    <w:p>
      <w:pPr>
        <w:spacing w:after="0" w:line="183"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one or more vacancies in the Board not filled by the Sole Member at any general meeting (or, for the avoidance of doubt, by written resolution pursuant to Bye-Law 38 above) shall be deemed casual vacancies for the purposes of these Bye-Laws. Without prejudice to the power of the Sole Member by Resolution in pursuance of any of the provisions of these Bye-Laws to appoint any person to be a Director, the Board, so long as a quorum of Directors remains in office, shall have power at any time and from time to time to appoint any person to be a Director so as to fill a casual vacancy.</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REGISTER OF DIRECTORS AND OFFICERS</w:t>
      </w:r>
    </w:p>
    <w:p>
      <w:pPr>
        <w:spacing w:after="0" w:line="219" w:lineRule="exact"/>
        <w:rPr>
          <w:sz w:val="20"/>
          <w:szCs w:val="20"/>
          <w:color w:val="auto"/>
        </w:rPr>
      </w:pPr>
    </w:p>
    <w:p>
      <w:pPr>
        <w:jc w:val="both"/>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a register of the Directors and Officers of the Company as required by the Companies Acts. The register of Directors and Officers shall be open to inspection in the manner prescribed by the Companies Acts between 10:00 a.m. and 12:00 noon on every working day.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AND DISQUALIFICATION OF DIRECTORS</w:t>
      </w:r>
    </w:p>
    <w:p>
      <w:pPr>
        <w:spacing w:after="0" w:line="220" w:lineRule="exact"/>
        <w:rPr>
          <w:sz w:val="20"/>
          <w:szCs w:val="20"/>
          <w:color w:val="auto"/>
        </w:rPr>
      </w:pPr>
    </w:p>
    <w:p>
      <w:pPr>
        <w:jc w:val="both"/>
        <w:ind w:left="660" w:hanging="652"/>
        <w:spacing w:after="0" w:line="23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Director may be removed with or without cause (i) by a notice to that effect signed by the Sole Member and delivered to the Secretary, without the requirement for any further vote or approval by the Board and in such case section 93 of the Companies Act shall not apply, or (ii) pursuant to a resolution approved by the Sole Member in general meeting, to which the requirements of section 93 of the Companies Act shall apply.</w:t>
      </w:r>
    </w:p>
    <w:p>
      <w:pPr>
        <w:spacing w:after="0" w:line="191"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office of Director shall ipso facto be vacated if the Director:</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resigns his or her office by notice to the Company;</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 or becomes of unsound mind or dies;</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 or becomes bankrupt, or makes any arrangement or composition with his or her creditors generally;</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 prohibited by law from being a Director; or</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 removed from office pursuant to Bye-Law 44.</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by a majority vote, shall have the power to appoint any Person as a Director to fill any vacancy on the Board. A Director appointed by the Board to fill a vacancy shall hold office until the earlier of (i) the next annual general meeting, or (ii) the date such Director’s office is otherwise vacated.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ALTERNATE DIRECTORS</w:t>
      </w:r>
    </w:p>
    <w:p>
      <w:pPr>
        <w:spacing w:after="0" w:line="220" w:lineRule="exact"/>
        <w:rPr>
          <w:sz w:val="20"/>
          <w:szCs w:val="20"/>
          <w:color w:val="auto"/>
        </w:rPr>
      </w:pPr>
    </w:p>
    <w:p>
      <w:pPr>
        <w:jc w:val="both"/>
        <w:ind w:left="660" w:hanging="652"/>
        <w:spacing w:after="0" w:line="23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Director may by writing appoint any other Director, or other person willing to act, to be his or her alternate and remove his or her alternate so appointed by him or her. Such appointment or removal shall be by notice to the Registered Office signed by the Director making or revoking the appointment or in any other manner approved by the Directors, and shall be effective on the date the notice is served or on any later date specified in that notice. Upon receipt of such notice, the Company shall notify such alternate Director of such appointment or revocation. Subject to the removal by the appointing Director, the alternate shall continue in office until the date on which his or her appointer ceases to be a Director. An alternate may also be a Director in his or her own right and may act as alternate to more than one Director.</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alternate Director shall be entitled to receive notice of all meetings of the Directors, attend, be counted in the quorum, vote and act in such appointor’s place at every such meeting at which the appointing Director is not personally present, and generally to perform all the functions of his or her appointor as a Director in his or her absence.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both"/>
        <w:ind w:left="660" w:hanging="652"/>
        <w:spacing w:after="0" w:line="23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Bye-Laws (except as regards powers to appoint an alternate and remuneration) apply equally to the alternate as though he were the Director in his or her own right. An alternate Director shall be deemed for all purposes to be a Director, shall alone be responsible for his or her own acts and defaults, and shall not be deemed to be the agent of the Director appointing him or her. An alternate Director may be reimbursed for expenses and shall be entitled to be indemnified by the Company to the same extent mutatis mutandis as if he were a Director. Every person acting as an alternate Director shall have one vote for each Director for whom he or she acts as alternate (in addition to his or her own vote if he is also a Director). The signature of an alternate to any written resolution of the Director or a Committee thereof shall, unless the terms of the appointment provides to the contrary, be as effective as the signature of the Director or Directors to whom he is alternate.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FEES AND EXPENSES</w:t>
      </w:r>
    </w:p>
    <w:p>
      <w:pPr>
        <w:spacing w:after="0" w:line="220" w:lineRule="exact"/>
        <w:rPr>
          <w:sz w:val="20"/>
          <w:szCs w:val="20"/>
          <w:color w:val="auto"/>
        </w:rPr>
      </w:pPr>
    </w:p>
    <w:p>
      <w:pPr>
        <w:jc w:val="both"/>
        <w:ind w:left="660" w:hanging="652"/>
        <w:spacing w:after="0" w:line="23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remuneration to be paid to the Directors, if any, shall be determined by the Sole Member by Resolution or, in the absence of such a determination, by the Board or an authorised Committee thereof. Each Director shall also be entitled to be paid his or her reasonable and documented travelling, hotel and other expenses properly incurred by him or her in connection with his or her attendance at meetings of the Directors, Committees constituted pursuant to these Bye-Laws, or general meetings of the Company, or otherwise in connection with the business of the Company, or to receive a fixed allowance in respect thereof as may be determined by the Directors, or a combination partly of one such method and partly the other. The Board may by a majority vote approve additional remuneration to any Director for services which in the opinion of the Directors go beyond the ordinary duties of a Director, and such extra remuneration shall be in addition to any remuneration provided for, by or pursuant to any other Bye-Law.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INTERESTS</w:t>
      </w:r>
    </w:p>
    <w:p>
      <w:pPr>
        <w:spacing w:after="0" w:line="220" w:lineRule="exact"/>
        <w:rPr>
          <w:sz w:val="20"/>
          <w:szCs w:val="20"/>
          <w:color w:val="auto"/>
        </w:rPr>
      </w:pPr>
    </w:p>
    <w:p>
      <w:pPr>
        <w:ind w:left="660" w:hanging="652"/>
        <w:spacing w:after="0" w:line="24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Director may hold any other office or place of profit with the Company (except that of Auditor) in conjunction with his or her office of Director for such period and upon such terms as to remuneration and otherwise as the Directors may determine.</w:t>
      </w:r>
    </w:p>
    <w:p>
      <w:pPr>
        <w:spacing w:after="0" w:line="18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Director or officer may act by himself/herself or his/her firm in a professional capacity for the Company (otherwise than as Auditor), and he/she or his/her firm shall be entitled to remuneration for professional services as if he were not a Director or officer.</w:t>
      </w:r>
    </w:p>
    <w:p>
      <w:pPr>
        <w:spacing w:after="0" w:line="183"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the provisions of the Companies Acts, a Director may notwithstanding his or her office be a party to, or otherwise interested in, any transaction or arrangement with the Company or in which the Company is otherwise interested; and be a director or other officer of, or employed by, or a party to any transaction or arrangement with, or otherwise interested in, any body corporate promoted by the Company or in which the Company is interested. The Board may also cause the voting power conferred by the Shares in any other company held or owned by the Company to be exercised in such manner in all respects as it thinks fit, including the exercise thereof in favour of any resolution appointing the Directors or any of them to be directors or officers of such other company, or voting or providing for the payment of remuneration to the directors or officers of such other company.</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jc w:val="both"/>
        <w:ind w:left="660" w:hanging="652"/>
        <w:spacing w:after="0" w:line="23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 long as, where it is necessary, he or she declares the nature of his or her interest at the first opportunity at a meeting of the Board or by writing to the Directors as required by the Companies Acts, a Director shall not by reason of his office be accountable to the Company for any benefit which he or she derives from any office or employment to which these Bye-Laws allow him or her to be appointed or from any transaction or arrangement in which these Bye-Laws allow him or her to be interested, and no such transaction or arrangement shall be liable to be avoided on the ground of any interest or benefit.</w:t>
      </w:r>
    </w:p>
    <w:p>
      <w:pPr>
        <w:spacing w:after="0" w:line="192"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Director who to his or her knowledge is in any way, whether directly or indirectly, interested in a contract or proposed contract, transaction or arrangement with the Company and has complied with the provisions of the Companies Acts and these Bye-Laws with regard to disclosure of his interest shall be entitled to vote in respect of any contract, transaction or arrangement in which he is so interested and if he shall do so his or her vote shall be counted, and he or she shall be taken into account in ascertaining whether a quorum is present.</w:t>
      </w:r>
    </w:p>
    <w:p>
      <w:pPr>
        <w:spacing w:after="0" w:line="188"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the Companies Acts and any further disclosure required thereby, a general notice to the Directors by a Director or Officer declaring that he or she is a director or officer or has an interest in a person and is to be regarded as interested in any transaction or arrangement made with that person, shall be a sufficient declaration of interest in relation to any transaction or arrangement so made.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ROLE AND POWERS OF THE BOARD</w:t>
      </w:r>
    </w:p>
    <w:p>
      <w:pPr>
        <w:spacing w:after="0" w:line="220" w:lineRule="exact"/>
        <w:rPr>
          <w:sz w:val="20"/>
          <w:szCs w:val="20"/>
          <w:color w:val="auto"/>
        </w:rPr>
      </w:pPr>
    </w:p>
    <w:p>
      <w:pPr>
        <w:jc w:val="both"/>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than with respect to matters requiring the approval of the Sole Member, the business of the Company shall be managed and conducted by the Board. In managing the business of the Company, the Board may exercise all such powers of the Company as are not, by the Companies Acts or by these Bye-Laws, required to be exercised by the Sole Member in general meeting.</w:t>
      </w:r>
    </w:p>
    <w:p>
      <w:pPr>
        <w:spacing w:after="0" w:line="189"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may:</w:t>
      </w:r>
    </w:p>
    <w:p>
      <w:pPr>
        <w:spacing w:after="0" w:line="198" w:lineRule="exact"/>
        <w:rPr>
          <w:rFonts w:ascii="Arial" w:cs="Arial" w:eastAsia="Arial" w:hAnsi="Arial"/>
          <w:sz w:val="18"/>
          <w:szCs w:val="18"/>
          <w:color w:val="auto"/>
        </w:rPr>
      </w:pPr>
    </w:p>
    <w:p>
      <w:pPr>
        <w:ind w:left="1260" w:hanging="604"/>
        <w:spacing w:after="0" w:line="246"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appoint, suspend or remove any manager, secretary, clerk, agent or employee of the Company and may fix their remuneration and determine their duties;</w:t>
      </w:r>
    </w:p>
    <w:p>
      <w:pPr>
        <w:spacing w:after="0" w:line="183" w:lineRule="exact"/>
        <w:rPr>
          <w:rFonts w:ascii="Arial" w:cs="Arial" w:eastAsia="Arial" w:hAnsi="Arial"/>
          <w:sz w:val="18"/>
          <w:szCs w:val="18"/>
          <w:color w:val="auto"/>
        </w:rPr>
      </w:pPr>
    </w:p>
    <w:p>
      <w:pPr>
        <w:jc w:val="both"/>
        <w:ind w:left="1260" w:hanging="604"/>
        <w:spacing w:after="0"/>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exercise all the powers of the Company to borrow money and to mortgage or charge or otherwise grant a security interest in its undertaking, property and uncalled capital, or any part thereof, and may issue debentures, debenture stock and other securities whether outright or as security for any debt, liability or obligation of the Company or any third party;</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jc w:val="both"/>
        <w:ind w:left="1260" w:right="20" w:hanging="6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appoint one or more persons to, or remove any such person from, the office of Principal Executive Officer of the Company, who shall, subject to the control of the Board, supervise and administer all of the general business and affairs of the Company;</w:t>
      </w:r>
    </w:p>
    <w:p>
      <w:pPr>
        <w:spacing w:after="0" w:line="188" w:lineRule="exact"/>
        <w:rPr>
          <w:rFonts w:ascii="Arial" w:cs="Arial" w:eastAsia="Arial" w:hAnsi="Arial"/>
          <w:sz w:val="18"/>
          <w:szCs w:val="18"/>
          <w:color w:val="auto"/>
        </w:rPr>
      </w:pPr>
    </w:p>
    <w:p>
      <w:pPr>
        <w:ind w:left="1260" w:hanging="604"/>
        <w:spacing w:after="0" w:line="24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appoint a person to act as manager of the Company’s day-to-day business and may entrust to and confer upon such manager such powers and duties as it deems appropriate for the transaction or conduct of such business;</w:t>
      </w:r>
    </w:p>
    <w:p>
      <w:pPr>
        <w:spacing w:after="0" w:line="183" w:lineRule="exact"/>
        <w:rPr>
          <w:rFonts w:ascii="Arial" w:cs="Arial" w:eastAsia="Arial" w:hAnsi="Arial"/>
          <w:sz w:val="18"/>
          <w:szCs w:val="18"/>
          <w:color w:val="auto"/>
        </w:rPr>
      </w:pPr>
    </w:p>
    <w:p>
      <w:pPr>
        <w:jc w:val="both"/>
        <w:ind w:left="1260" w:hanging="604"/>
        <w:spacing w:after="0" w:line="237"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power of attorney, appoint any company, firm, person or body of persons, whether nominated directly or indirectly by the Board, to be an attorney of the Company for such purposes and with such powers, authorities and discretions (not exceeding those vested in or exercisable by the Board)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so vested in the attorney;</w:t>
      </w:r>
    </w:p>
    <w:p>
      <w:pPr>
        <w:spacing w:after="0" w:line="191" w:lineRule="exact"/>
        <w:rPr>
          <w:rFonts w:ascii="Arial" w:cs="Arial" w:eastAsia="Arial" w:hAnsi="Arial"/>
          <w:sz w:val="18"/>
          <w:szCs w:val="18"/>
          <w:color w:val="auto"/>
        </w:rPr>
      </w:pPr>
    </w:p>
    <w:p>
      <w:pPr>
        <w:ind w:left="1260" w:hanging="6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present any petition and make any application in connection with the liquidation or reorganisation of the Company;</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connection with the issuance of any Share, pay such commission and brokerage as may be permitted by law; or</w:t>
      </w:r>
    </w:p>
    <w:p>
      <w:pPr>
        <w:spacing w:after="0" w:line="198" w:lineRule="exact"/>
        <w:rPr>
          <w:rFonts w:ascii="Arial" w:cs="Arial" w:eastAsia="Arial" w:hAnsi="Arial"/>
          <w:sz w:val="18"/>
          <w:szCs w:val="18"/>
          <w:color w:val="auto"/>
        </w:rPr>
      </w:pPr>
    </w:p>
    <w:p>
      <w:pPr>
        <w:ind w:left="1260" w:right="20" w:hanging="604"/>
        <w:spacing w:after="0" w:line="24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authorise any person or group of persons to act on behalf of the Company for any specific purpose and in connection therewith to execute any deed, agreement, document or instrument on behalf of the Company.</w:t>
      </w:r>
    </w:p>
    <w:p>
      <w:pPr>
        <w:spacing w:after="0" w:line="183" w:lineRule="exact"/>
        <w:rPr>
          <w:sz w:val="20"/>
          <w:szCs w:val="20"/>
          <w:color w:val="auto"/>
        </w:rPr>
      </w:pPr>
    </w:p>
    <w:p>
      <w:pPr>
        <w:ind w:left="660" w:hanging="652"/>
        <w:spacing w:after="0" w:line="24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may delegate any of its powers to a Committee of one or more persons which may consist partly or entirely of non-Directors. Each Committee shall conform to such directions as the Board shall impose on it.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THE BOARD</w:t>
      </w:r>
    </w:p>
    <w:p>
      <w:pPr>
        <w:spacing w:after="0" w:line="220" w:lineRule="exact"/>
        <w:rPr>
          <w:sz w:val="20"/>
          <w:szCs w:val="20"/>
          <w:color w:val="auto"/>
        </w:rPr>
      </w:pPr>
    </w:p>
    <w:p>
      <w:pPr>
        <w:jc w:val="both"/>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may meet for the despatch of business, adjourn, and otherwise regulate its meetings and proceedings, as they think fit. Questions arising at any meeting shall be decided by a majority of votes. In case of an equality of votes the chairperson shall not have a second or casting vote and the motion shall be deemed to have been lost.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Director may, and the Secretary on the requisition of a Director shall, at any time, summon a meeting of the Board. Notice of a meeting of the Board may be given to a Director by word of mouth or in any manner permitted by these Bye-Laws. A Director may retrospectively waive the requirement for notice of any meeting by consenting in writing to the business conducted at the meeting.</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jc w:val="both"/>
        <w:ind w:left="660" w:hanging="652"/>
        <w:spacing w:after="0" w:line="23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Board may be fixed by the Board and, unless so fixed at any other number, shall be one (1) individual. Any Director who ceases to be a Director at a meeting of the Board may continue to be present and to act as a Director and be counted in the quorum until the termination of the meeting if no other Director objects and if otherwise a quorum of Directors would not be present.</w:t>
      </w:r>
    </w:p>
    <w:p>
      <w:pPr>
        <w:spacing w:after="0" w:line="190"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Resident Representative shall, upon delivering written notice of an address for the purposes of receipt of notice to the Registered Office, be entitled to receive notice of, attend and be heard at, and to receive minutes of all meetings of the Board.</w:t>
      </w:r>
    </w:p>
    <w:p>
      <w:pPr>
        <w:spacing w:after="0" w:line="183" w:lineRule="exact"/>
        <w:rPr>
          <w:rFonts w:ascii="Arial" w:cs="Arial" w:eastAsia="Arial" w:hAnsi="Arial"/>
          <w:sz w:val="18"/>
          <w:szCs w:val="18"/>
          <w:color w:val="auto"/>
        </w:rPr>
      </w:pPr>
    </w:p>
    <w:p>
      <w:pPr>
        <w:jc w:val="both"/>
        <w:ind w:left="660" w:right="2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 long as a quorum of Directors remains in office, the continuing Directors may act notwithstanding any vacancy in the Board but, if no such quorum remains, the continuing Directors or a sole continuing Director may act only for the purpose of calling a general meeting.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may elect a chairperson of its meetings and determine the period for which he or she is to hold office; but if no such chairperson is elected, or if at any meeting the chairperson is not present within five minutes after the time appointed for holding the same, the Directors present may choose one of their number to be chairperson of the meeting.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otherwise set forth in these Bye-Laws, the meetings and proceedings of each Committee shall be governed by the provisions contained in these Bye-Laws regulating the meetings and proceedings of the Board, so far as the same are applicable and are not superseded by directions imposed by the Board.</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written resolution signed by all of the Directors or all of the members of a Committee for the time being entitled to receive notice of a meeting of the Board or Committee (or by an alternate Director as provided in these Bye-Laws), including a resolution signed in counterpart shall be as valid and effectual as if it had been passed at a meeting of the Board or of a Committee duly called and constituted.</w:t>
      </w:r>
    </w:p>
    <w:p>
      <w:pPr>
        <w:spacing w:after="0" w:line="191"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the extent permitted by law, a meeting of the Board or a Committee may be held by means of such telephone, electronic or other communication facilities (including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or, if there is no such group, where the chairperson of the meeting then is.</w:t>
      </w:r>
    </w:p>
    <w:p>
      <w:pPr>
        <w:spacing w:after="0" w:line="188"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acts done by any meeting of the Board or of a Committee, or by any person acting as a Director or member of a Committee or any person duly authorised by the Board or any Committee shall, notwithstanding that it be afterwards discovered that there was some defect in the appointment of any member of the Board or such Committee or person acting as aforesaid, or that they or any of them were disqualified or had vacated their office, be as valid as if every such person had been duly appointed and was qualified and had continued to be a Director, member of such Committee or person so authorised.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OFFICERS</w:t>
      </w:r>
    </w:p>
    <w:p>
      <w:pPr>
        <w:spacing w:after="0" w:line="219" w:lineRule="exact"/>
        <w:rPr>
          <w:sz w:val="20"/>
          <w:szCs w:val="20"/>
          <w:color w:val="auto"/>
        </w:rPr>
      </w:pPr>
    </w:p>
    <w:p>
      <w:pPr>
        <w:jc w:val="both"/>
        <w:ind w:left="660" w:hanging="652"/>
        <w:spacing w:after="0" w:line="23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Board may appoint Officers (who may or may not be Directors) as the Board may determine for such terms as the Board deems fit. Officers may be ascribed such titles as the Board may decide, and the Board may revoke or terminate any such election or appointment. Any such revocation or termination shall be without prejudice to any claim for any damages that such Officer may have against the Company or the Company may have against such Officer for any breach of any contract of service between him or her and the Company which may be involved in such revocation or termination. Save as provided in the Companies Acts or these Bye-Laws, the powers and duties of the Officers of the Company in the management, business and affairs of the Company shall be such (if any) as are delegated to them from time to time by the Board.</w:t>
      </w:r>
    </w:p>
    <w:p>
      <w:pPr>
        <w:spacing w:after="0" w:line="18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of these Bye-Laws as to resignation and disqualification of Directors shall mutatis mutandis apply to the resignation and disqualification of Officers.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 AND RESIDENT REPRESENTATIVE</w:t>
      </w:r>
    </w:p>
    <w:p>
      <w:pPr>
        <w:spacing w:after="0" w:line="220" w:lineRule="exact"/>
        <w:rPr>
          <w:sz w:val="20"/>
          <w:szCs w:val="20"/>
          <w:color w:val="auto"/>
        </w:rPr>
      </w:pPr>
    </w:p>
    <w:p>
      <w:pPr>
        <w:jc w:val="both"/>
        <w:ind w:left="660" w:hanging="652"/>
        <w:spacing w:after="0" w:line="23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Secretary (including one or more deputy or assistant secretaries) and, if required, the Resident Representative, shall be appointed by the Board at such remuneration (if any) and upon such terms as it may think fit and any Secretary and Resident Representative so appointed may be removed by the Board. The duties of the Secretary and the duties of the Resident Representative shall be those prescribed by the Companies Acts together with such other duties as shall from time to time be prescribed by the Board.</w:t>
      </w:r>
    </w:p>
    <w:p>
      <w:pPr>
        <w:spacing w:after="0" w:line="188" w:lineRule="exact"/>
        <w:rPr>
          <w:rFonts w:ascii="Arial" w:cs="Arial" w:eastAsia="Arial" w:hAnsi="Arial"/>
          <w:sz w:val="18"/>
          <w:szCs w:val="18"/>
          <w:color w:val="auto"/>
        </w:rPr>
      </w:pPr>
    </w:p>
    <w:p>
      <w:pPr>
        <w:jc w:val="both"/>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provision of the Companies Acts or these Bye-Laws requiring or authorising a thing to be done by or to a Director and the Secretary shall not be satisfied by its being done by or to the same person acting both as Director and as, or in the place of, the Secretary.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OF SHARES</w:t>
      </w:r>
    </w:p>
    <w:p>
      <w:pPr>
        <w:spacing w:after="0" w:line="220" w:lineRule="exact"/>
        <w:rPr>
          <w:sz w:val="20"/>
          <w:szCs w:val="20"/>
          <w:color w:val="auto"/>
        </w:rPr>
      </w:pPr>
    </w:p>
    <w:p>
      <w:pPr>
        <w:jc w:val="both"/>
        <w:ind w:left="660" w:hanging="652"/>
        <w:spacing w:after="0" w:line="23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may (subject to the provisions of these Bye-Laws, the memorandum of association and the Companies Acts), without prejudice to any rights attached to any existing Shares, offer, allot, grant options over or otherwise dispose of the unissued Shares (whether forming part of the original capital or any increased capital) with or without preferred, deferred, qualified or other special rights or restrictions, whether in regard to dividends or other forms of distribution, voting, return of capital or otherwise, and to such persons and on such terms and conditions and for such consideration, and at such times as they think fit, provided no Share shall be issued at a discount (except in accordance with the provisions of the Companies Acts).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the Companies Acts, any preference Shares may, with the sanction of a resolution of the Board, be issued on terms:</w:t>
      </w:r>
    </w:p>
    <w:p>
      <w:pPr>
        <w:spacing w:after="0" w:line="197" w:lineRule="exact"/>
        <w:rPr>
          <w:rFonts w:ascii="Arial" w:cs="Arial" w:eastAsia="Arial" w:hAnsi="Arial"/>
          <w:sz w:val="18"/>
          <w:szCs w:val="18"/>
          <w:color w:val="auto"/>
        </w:rPr>
      </w:pPr>
    </w:p>
    <w:p>
      <w:pPr>
        <w:ind w:left="1260" w:hanging="604"/>
        <w:spacing w:after="0"/>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that they are to be redeemed on the happening of a specified event or on a given date; and/or,</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that they are liable to be redeemed at the option of the Company; and/or,</w:t>
      </w:r>
    </w:p>
    <w:p>
      <w:pPr>
        <w:spacing w:after="0" w:line="198" w:lineRule="exact"/>
        <w:rPr>
          <w:rFonts w:ascii="Arial" w:cs="Arial" w:eastAsia="Arial" w:hAnsi="Arial"/>
          <w:sz w:val="18"/>
          <w:szCs w:val="18"/>
          <w:color w:val="auto"/>
        </w:rPr>
      </w:pPr>
    </w:p>
    <w:p>
      <w:pPr>
        <w:ind w:left="1260" w:right="20" w:hanging="604"/>
        <w:spacing w:after="0" w:line="246"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authorised by the memorandum of association of the Company, that they are liable to be redeemed at the option of the holder.</w:t>
      </w:r>
    </w:p>
    <w:p>
      <w:pPr>
        <w:spacing w:after="0" w:line="183"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terms and manner of redemption shall be provided for in such resolution of the Board and shall be attached to but shall not form part of these Bye-Laws.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SHARES</w:t>
      </w:r>
    </w:p>
    <w:p>
      <w:pPr>
        <w:spacing w:after="0" w:line="220" w:lineRule="exact"/>
        <w:rPr>
          <w:sz w:val="20"/>
          <w:szCs w:val="20"/>
          <w:color w:val="auto"/>
        </w:rPr>
      </w:pPr>
    </w:p>
    <w:p>
      <w:pPr>
        <w:jc w:val="both"/>
        <w:ind w:left="660" w:hanging="652"/>
        <w:spacing w:after="0" w:line="23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may, at its discretion and without the sanction of a Resolution, authorise the acquisition by the Company of its own Shares, to be held as treasury Shares or cancelled, upon such terms as the Board may in its discretion determine, provided always that such acquisition is effected in accordance with the provisions of the Companies Act. If the Board authorizes such an acquisition by the Company of its own Shares, the Company shall be entered in the Register as a Member in respect of the Shares held by the Company as treasury Shares and shall be a Member of the Company but subject always to the provisions of the Companies Acts. For the avoidance of doubt, the Company shall not exercise any rights and shall not enjoy or participate in any of the rights attaching to those Shares save as expressly provided for in the Companies Acts.</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the provisions of these Bye-Laws, any Shares of the Company held by the Company as treasury Shares shall be at the disposal of the Board, which may hold all or any of the Shares, dispose of or transfer all or any of the Shares for cash or other consideration, or cancel all or any of the Shares.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VARIATION OF SHARE RIGHTS</w:t>
      </w:r>
    </w:p>
    <w:p>
      <w:pPr>
        <w:spacing w:after="0" w:line="220" w:lineRule="exact"/>
        <w:rPr>
          <w:sz w:val="20"/>
          <w:szCs w:val="20"/>
          <w:color w:val="auto"/>
        </w:rPr>
      </w:pPr>
    </w:p>
    <w:p>
      <w:pPr>
        <w:jc w:val="both"/>
        <w:ind w:left="660" w:right="2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at any time the Share capital is divided into different classes of Shares, subject to the Companies Acts, all or any of the special rights for the time being attached to any class of Shares (unless otherwise provided by the terms of issue of the Shares of that class) (whether or not the Company is being wound up) may be varied or abrogated with the consent in writing of the Sole Member.</w:t>
      </w:r>
    </w:p>
    <w:p>
      <w:pPr>
        <w:spacing w:after="0" w:line="189"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rights conferred upon the holders of any Shares shall not, unless otherwise expressly provided in the rights attaching to such Shares, be deemed to be altered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CERTIFICATES</w:t>
      </w:r>
    </w:p>
    <w:p>
      <w:pPr>
        <w:spacing w:after="0" w:line="220" w:lineRule="exact"/>
        <w:rPr>
          <w:sz w:val="20"/>
          <w:szCs w:val="20"/>
          <w:color w:val="auto"/>
        </w:rPr>
      </w:pPr>
    </w:p>
    <w:p>
      <w:pPr>
        <w:jc w:val="both"/>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be under no obligation to complete and deliver a Share certificate unless specifically called upon to do so by the person to whom the Shares have been issued. The Company shall not be bound to issue more than one certificate for Shares held jointly by more than one person, and delivery of a certificate to one joint holder shall be sufficient delivery to all.</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jc w:val="both"/>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Share certificate is defaced, lost or destroyed, it may be replaced on payment of such fee (if any) and on such terms (if any) as to evidence and indemnity, and on the payment of expenses of the Company in investigating such evidence and preparing such indemnity as the Directors shall think fit and, in case of defacement, on delivery of the old certificate to the Company for cancellation.</w:t>
      </w:r>
    </w:p>
    <w:p>
      <w:pPr>
        <w:spacing w:after="0" w:line="188"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certificates for Share or loan capital or other securities of the Company (other than letters of allotment, scrip certificates and other like documents) shall, except to the extent that the terms and conditions for the time being relating thereto otherwise provide, be issued under the Seal or signed by a Director, the Secretary or any person authorised by the Board for that purpose. The Board may by resolution determine, either generally or in any particular case, that any signatures on any such certificates need not be autographic but may be affixed to such certificates by some mechanical means or may be printed thereon or that such certificates need not be signed by any persons.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NON-RECOGNITION OF TRUSTS</w:t>
      </w:r>
    </w:p>
    <w:p>
      <w:pPr>
        <w:spacing w:after="0" w:line="220" w:lineRule="exact"/>
        <w:rPr>
          <w:sz w:val="20"/>
          <w:szCs w:val="20"/>
          <w:color w:val="auto"/>
        </w:rPr>
      </w:pPr>
    </w:p>
    <w:p>
      <w:pPr>
        <w:jc w:val="both"/>
        <w:ind w:left="660" w:hanging="652"/>
        <w:spacing w:after="0" w:line="23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required by the Companies Acts or these Bye-Laws, or under an order of a court of competent jurisdiction, no person shall be recognised by the Company as holding any Share upon trust and, the Company shall not be bound by or compelled to recognise in any way, even when notice thereof is given to it, any equitable, contingent, future or partial interest in any Share any other rights in respect of any Share except an absolute right to the entirety thereof in the registered holder.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LIEN</w:t>
      </w:r>
    </w:p>
    <w:p>
      <w:pPr>
        <w:spacing w:after="0" w:line="220" w:lineRule="exact"/>
        <w:rPr>
          <w:sz w:val="20"/>
          <w:szCs w:val="20"/>
          <w:color w:val="auto"/>
        </w:rPr>
      </w:pPr>
    </w:p>
    <w:p>
      <w:pPr>
        <w:jc w:val="both"/>
        <w:ind w:left="660" w:hanging="652"/>
        <w:spacing w:after="0" w:line="23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have a first and paramount lien on every Share (not being a fully paid Share) for all monies (whether presently payable or not) called or payable, at a date fixed by or in accordance with the terms of issue of such Share in respect of that Share, and the Company shall also have a first and paramount lien on every Share (other than a fully paid up Share) standing registered in the name of the Sole Member, whether singly or jointly with any other person for all debts and liabilities of the Sole Member or its estate to the Company, whether the same shall have been incurred before or after notice to the Company of any interest of any person other than the Sole Member, and whether the time for the payment or discharge of the same shall have actually arrived or not, and notwithstanding that the same are joint debts or liabilities of the Sole Member or its estate and any other person, whether the Sole Member or not. The Board may at any time, either generally or in any particular case, waive any lien that has arisen or declare any Share to be wholly or in part exempt from the provisions of this Bye-Law. The Company’s lien, if any, on a Share shall extend to all dividends payable thereon.</w:t>
      </w:r>
    </w:p>
    <w:p>
      <w:pPr>
        <w:spacing w:after="0" w:line="192"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may sell, in such manner as the Board may think fit, any Share on which the Company has a lien, provided a sum in respect of which the lien exists is presently payable, and is not paid within fourteen days after a notice in writing has been given to the registered holder for the time being of the Share, demanding payment of the sum presently payable and giving notice of the intention to sell in default of such payment.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jc w:val="both"/>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net proceeds of such sale shall be applied in or towards payment or discharge of the debt or liability in respect of which the lien exists and as is presently payable, and any balance shall (subject to a like lien for debts or liabilities not presently payable as existed upon the Shares prior to the sale) be paid to the person who was the registered holder of the Share immediately before such sale.</w:t>
      </w:r>
    </w:p>
    <w:p>
      <w:pPr>
        <w:spacing w:after="0" w:line="188"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giving effect to any such sale, the Board may authorise any person to transfer the Share sold to the purchaser thereof. The purchaser shall be registered as the holder of the Share comprised in any such transfer and he or she shall not be bound to see to the application of the purchase money, nor shall his or her title to the Share be affected by any irregularity or invalidity in the proceedings relating to the sale.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CALLS ON SHARES</w:t>
      </w:r>
    </w:p>
    <w:p>
      <w:pPr>
        <w:spacing w:after="0" w:line="220" w:lineRule="exact"/>
        <w:rPr>
          <w:sz w:val="20"/>
          <w:szCs w:val="20"/>
          <w:color w:val="auto"/>
        </w:rPr>
      </w:pPr>
    </w:p>
    <w:p>
      <w:pPr>
        <w:jc w:val="both"/>
        <w:ind w:left="660" w:hanging="652"/>
        <w:spacing w:after="0" w:line="23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Board may from time to time make calls upon the Sole Member (for the avoidance of doubt excluding the Company in respect of any nil or partly paid Shares held by the Company as treasury Shares) in respect of any monies unpaid on their Shares (whether in respect of the par value of the Shares or premium and not, by the terms of issue thereof, made payable at a future date fixed by or in accordance with such terms of issue); and the Sole Member shall (subject to the Company serving upon him or her at least fourteen days’ notice specifying the time or times and place of payment) pay to the Company at the time or times and place so specified the amount called on his or her Shares. A call may be revoked or postponed by the Board as the Board may determine. A call shall be deemed to have been made at the time when the resolution of the Board authorising the call was passed.</w:t>
      </w:r>
    </w:p>
    <w:p>
      <w:pPr>
        <w:spacing w:after="0" w:line="189"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 of a call may be made by instalments at the discretion of the Board.</w:t>
      </w:r>
    </w:p>
    <w:p>
      <w:pPr>
        <w:spacing w:after="0" w:line="198"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all calls in respect thereof.</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on the sum from the day payment is due to the time of the actual payment at such rate as the Board may determine, but the Board may waive payment of such interest wholly or in part.</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sum payable in respect of a Share on issue or allotment or at any fixed date, whether in respect of the par value of the Share or premium or otherwise, shall be deemed to be a call and if it is not paid all the relevant provisions as to payment of interest, forfeiture or otherwise of these Bye-Laws shall apply as if such sum had become due and payable by virtue of a call duly made and notified.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Board may issue Shares with different terms as to the amount and times of payment of calls.</w:t>
      </w:r>
    </w:p>
    <w:p>
      <w:pPr>
        <w:spacing w:after="0" w:line="175" w:lineRule="exact"/>
        <w:rPr>
          <w:rFonts w:ascii="Arial" w:cs="Arial" w:eastAsia="Arial" w:hAnsi="Arial"/>
          <w:sz w:val="18"/>
          <w:szCs w:val="18"/>
          <w:color w:val="auto"/>
        </w:rPr>
      </w:pPr>
    </w:p>
    <w:p>
      <w:pPr>
        <w:ind w:left="4500"/>
        <w:spacing w:after="0"/>
        <w:rPr>
          <w:rFonts w:ascii="Arial" w:cs="Arial" w:eastAsia="Arial" w:hAnsi="Arial"/>
          <w:sz w:val="18"/>
          <w:szCs w:val="18"/>
          <w:color w:val="auto"/>
        </w:rPr>
      </w:pPr>
      <w:r>
        <w:rPr>
          <w:rFonts w:ascii="Arial" w:cs="Arial" w:eastAsia="Arial" w:hAnsi="Arial"/>
          <w:sz w:val="18"/>
          <w:szCs w:val="18"/>
          <w:b w:val="1"/>
          <w:bCs w:val="1"/>
          <w:color w:val="auto"/>
        </w:rPr>
        <w:t>FORFEITURE OF SHARES</w:t>
      </w:r>
    </w:p>
    <w:p>
      <w:pPr>
        <w:spacing w:after="0" w:line="220" w:lineRule="exact"/>
        <w:rPr>
          <w:rFonts w:ascii="Arial" w:cs="Arial" w:eastAsia="Arial" w:hAnsi="Arial"/>
          <w:sz w:val="18"/>
          <w:szCs w:val="18"/>
          <w:color w:val="auto"/>
        </w:rPr>
      </w:pPr>
    </w:p>
    <w:p>
      <w:pPr>
        <w:jc w:val="both"/>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 Member fails to pay any call or instalment of a call by the date it becomes due and payable, the Board may, at any time thereafter while such call or instalment remains unpaid, give notice to the Member requiring payment of the unpaid portion of the call or instalment, together with any accrued interest and expenses incurred by the Company by reason of such non-payment.</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notice shall specify where and by what date (not being less than the expiration of fourteen days from the date of the notice) payment is to be made and shall state that if it is not complied with the Shares in respect of which the call was made will be liable to be forfeited. The Board may accept the surrender of any Share liable to be forfeited hereunder and, in such case, references to these Bye-Laws to forfeiture shall include surrender.</w:t>
      </w:r>
    </w:p>
    <w:p>
      <w:pPr>
        <w:spacing w:after="0" w:line="191"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such notice is not complied with, any Share in respect of which the notice was given may thereafter, before the payment of all calls or instalments and interest due in respect thereof has been made, be forfeited by a resolution of the Board. Such forfeiture shall include all dividends declared, other distributions or other monies payable in respect of the forfeited Shares and not paid before the forfeiture.</w:t>
      </w:r>
    </w:p>
    <w:p>
      <w:pPr>
        <w:spacing w:after="0" w:line="191"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forfeited Share may be sold, re-allotted or otherwise disposed upon such terms and in such manner as the Board shall think fit, and at any time before a sale, re-allotment or disposition, the forfeiture may be cancelled on such terms as the Board thinks fit.</w:t>
      </w:r>
    </w:p>
    <w:p>
      <w:pPr>
        <w:spacing w:after="0" w:line="183"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Member in respect of the forfeited Shares, but shall remain liable to pay to the Company all monies which at the date of forfeiture were presently payable by him or her in respect of the Shares together with interest at such rate as the Board may determine from the date of forfeiture until payment, but his or her liability shall cease if and when the Company receives payment in full of all amounts due in respect of the Shares. The Company may enforce payment without being under any obligation to make any allowance for the value of the Shares forfeited.</w:t>
      </w:r>
    </w:p>
    <w:p>
      <w:pPr>
        <w:spacing w:after="0" w:line="188"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affidavit in writing by a Director or Secretary of the Company that a Share has been duly forfeited on a specified date, shall be conclusive evidence of the facts stated in it as against all persons claiming to be entitled to the Share. The Company may receive the consideration, if any, given for the Share on any sale, re-allotment or disposition thereof and the Board may authorise some person to execute a transfer of the Share in favour of the person to whom the Share is sold, re-allotted or otherwise disposed of, and he shall thereupon be registered as the holder of the Share, and shall not be bound to see to the application of the purchase money (if any) nor shall his or her title to the Share be affected by any irregularity or invalidity in the proceedings in reference to the forfeiture, sale, re-allotment or disposition of the Share.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jc w:val="center"/>
        <w:ind w:right="-339"/>
        <w:spacing w:after="0"/>
        <w:rPr>
          <w:sz w:val="20"/>
          <w:szCs w:val="20"/>
          <w:color w:val="auto"/>
        </w:rPr>
      </w:pPr>
      <w:r>
        <w:rPr>
          <w:rFonts w:ascii="Arial" w:cs="Arial" w:eastAsia="Arial" w:hAnsi="Arial"/>
          <w:sz w:val="18"/>
          <w:szCs w:val="18"/>
          <w:b w:val="1"/>
          <w:bCs w:val="1"/>
          <w:color w:val="auto"/>
        </w:rPr>
        <w:t>REGISTER OF MEMBERS</w:t>
      </w:r>
    </w:p>
    <w:p>
      <w:pPr>
        <w:spacing w:after="0" w:line="219" w:lineRule="exact"/>
        <w:rPr>
          <w:sz w:val="20"/>
          <w:szCs w:val="20"/>
          <w:color w:val="auto"/>
        </w:rPr>
      </w:pPr>
    </w:p>
    <w:p>
      <w:pPr>
        <w:jc w:val="both"/>
        <w:ind w:left="660" w:hanging="652"/>
        <w:spacing w:after="0" w:line="23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the Register at the Registered Office or at such other place determined by the Board in the manner prescribed by the Companies Act. Unless the Board otherwise determines, the Register shall be open to inspection in the manner prescribed by the Companies Acts between 10:00 a.m. and 12:00 noon on every working day. Unless the Board so determines, no Member or intending Member shall be entitled to have entered in the Register any indication of any trust or any equitable, contingent, future or partial interest in any Share and if any such entry exists or is permitted by the Board it shall not be deemed to abrogate any other provisions of these Bye-Laws. For the avoidance of doubt, the Sole Member shall be the only Member.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w:t>
      </w:r>
    </w:p>
    <w:p>
      <w:pPr>
        <w:spacing w:after="0" w:line="220" w:lineRule="exact"/>
        <w:rPr>
          <w:sz w:val="20"/>
          <w:szCs w:val="20"/>
          <w:color w:val="auto"/>
        </w:rPr>
      </w:pPr>
    </w:p>
    <w:p>
      <w:pPr>
        <w:jc w:val="both"/>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instrument of transfer of any Share shall be executed by or on behalf of the transferor and, where any Share is not fully-paid, the transferee. The transferor shall be deemed to remain the holder of the Share until the name of the transferee is entered in the Register in respect of such Share. All instruments of transfer, once registered, may be retained by the Company.</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any applicable restrictions contained in the Companies Acts and these Bye-Laws, Shares shall be transferred in any usual or common form approved by the Board. No such instrument shall be required on the redemption of a Share or on the purchase by the Company of a Share.</w:t>
      </w:r>
    </w:p>
    <w:p>
      <w:pPr>
        <w:spacing w:after="0" w:line="18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Board may, in its absolute discretion and without assigning any reason therefore, decline to register any transfer of any Share which is not a fully-paid Share. The Board may require reasonable evidence to show the right of the transferor to make the transfer.</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Board may also decline to register any transfer unless:</w:t>
      </w:r>
    </w:p>
    <w:p>
      <w:pPr>
        <w:spacing w:after="0" w:line="198" w:lineRule="exact"/>
        <w:rPr>
          <w:rFonts w:ascii="Arial" w:cs="Arial" w:eastAsia="Arial" w:hAnsi="Arial"/>
          <w:sz w:val="18"/>
          <w:szCs w:val="18"/>
          <w:color w:val="auto"/>
        </w:rPr>
      </w:pPr>
    </w:p>
    <w:p>
      <w:pPr>
        <w:jc w:val="both"/>
        <w:ind w:left="1260" w:hanging="604"/>
        <w:spacing w:after="0"/>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instrument of transfer is duly stamped (if required by law) and lodged with the Company, accompanied by the certificate for the Shares to which it relates, and such other evidence as the Board may reasonably require to show the right of the transferor to make the transfer,</w:t>
      </w:r>
    </w:p>
    <w:p>
      <w:pPr>
        <w:spacing w:after="0" w:line="189" w:lineRule="exact"/>
        <w:rPr>
          <w:rFonts w:ascii="Arial" w:cs="Arial" w:eastAsia="Arial" w:hAnsi="Arial"/>
          <w:sz w:val="18"/>
          <w:szCs w:val="18"/>
          <w:color w:val="auto"/>
        </w:rPr>
      </w:pPr>
    </w:p>
    <w:p>
      <w:pPr>
        <w:ind w:left="1260" w:hanging="604"/>
        <w:spacing w:after="0"/>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 and</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where applicable, the permission of the Bermuda Monetary Authority with respect thereto has been obtained.</w:t>
      </w:r>
    </w:p>
    <w:p>
      <w:pPr>
        <w:spacing w:after="0" w:line="198"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this Bye-Law.</w:t>
      </w:r>
    </w:p>
    <w:p>
      <w:pPr>
        <w:spacing w:after="0" w:line="18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Board decline to register a transfer of Shares they shall send notice of the refusal to the transferee within three months after the date on which the transfer was lodged with the Company.</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both"/>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fee shall be charged by the Company for registering any transfer, probate, letters of administration, certificate of death or marriage, power of attorney, stop notice, order of court or other instrument relating to or affecting the title to any Share, or otherwise making an entry in the Register relating to any Share.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OF CAPITAL</w:t>
      </w:r>
    </w:p>
    <w:p>
      <w:pPr>
        <w:spacing w:after="0" w:line="220" w:lineRule="exact"/>
        <w:rPr>
          <w:sz w:val="20"/>
          <w:szCs w:val="20"/>
          <w:color w:val="auto"/>
        </w:rPr>
      </w:pPr>
    </w:p>
    <w:p>
      <w:pPr>
        <w:ind w:left="660" w:hanging="652"/>
        <w:spacing w:after="0" w:line="246"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Sole Member may from time to time by Resolution increase the Company’s Share capital by such sum, to be divided into new Shares of such par value, and with such rights, priorities and privileges attached thereto as the Resolution shall prescribe.</w:t>
      </w:r>
    </w:p>
    <w:p>
      <w:pPr>
        <w:spacing w:after="0" w:line="183"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Sole Member may, by the Resolution increasing the capital, direct that the new Shares or any of them shall be offered in the first instance either at par or at a premium or (subject to the provisions of the Companies Acts) at a discount to all the holders for the time being of Shares of any class or classes in proportion to the number of such Shares held by them respectively or make any other provision as to the issue of the new Shares.</w:t>
      </w:r>
    </w:p>
    <w:p>
      <w:pPr>
        <w:spacing w:after="0" w:line="191"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new Shares shall be subject to all the provisions of these Bye-Laws with reference to the payment of calls, lien, forfeiture, transfer, transmission and otherwise.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CAPITAL</w:t>
      </w:r>
    </w:p>
    <w:p>
      <w:pPr>
        <w:spacing w:after="0" w:line="220"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may from time to time:</w:t>
      </w:r>
    </w:p>
    <w:p>
      <w:pPr>
        <w:spacing w:after="0" w:line="198" w:lineRule="exact"/>
        <w:rPr>
          <w:rFonts w:ascii="Arial" w:cs="Arial" w:eastAsia="Arial" w:hAnsi="Arial"/>
          <w:sz w:val="18"/>
          <w:szCs w:val="18"/>
          <w:color w:val="auto"/>
        </w:rPr>
      </w:pPr>
    </w:p>
    <w:p>
      <w:pPr>
        <w:ind w:left="1260" w:hanging="604"/>
        <w:spacing w:after="0" w:line="246" w:lineRule="auto"/>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divide the Company’s shares into several classes and attach thereto respectively any preferential, deferred, qualified or special rights, privileges or conditions;</w:t>
      </w:r>
    </w:p>
    <w:p>
      <w:pPr>
        <w:spacing w:after="0" w:line="183" w:lineRule="exact"/>
        <w:rPr>
          <w:rFonts w:ascii="Arial" w:cs="Arial" w:eastAsia="Arial" w:hAnsi="Arial"/>
          <w:sz w:val="18"/>
          <w:szCs w:val="18"/>
          <w:color w:val="auto"/>
        </w:rPr>
      </w:pPr>
    </w:p>
    <w:p>
      <w:pPr>
        <w:ind w:left="1260" w:hanging="604"/>
        <w:spacing w:after="0"/>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consolidate and divide all or any of the Company’s share capital into shares of larger par value than its existing shares;</w:t>
      </w:r>
    </w:p>
    <w:p>
      <w:pPr>
        <w:spacing w:after="0" w:line="238" w:lineRule="exact"/>
        <w:rPr>
          <w:rFonts w:ascii="Arial" w:cs="Arial" w:eastAsia="Arial" w:hAnsi="Arial"/>
          <w:sz w:val="18"/>
          <w:szCs w:val="18"/>
          <w:color w:val="auto"/>
        </w:rPr>
      </w:pPr>
    </w:p>
    <w:p>
      <w:pPr>
        <w:jc w:val="both"/>
        <w:ind w:left="1260" w:hanging="604"/>
        <w:spacing w:after="0"/>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sub-divide the Company’s shares or any of them into shares of smaller par value than is fixed by the Company’s memorandum, so, however, that in the sub-division the proportion between the amount paid and the amount, if any, unpaid on each reduced share shall be the same as it was in the case of the share from which the reduced share is derived; and</w:t>
      </w:r>
    </w:p>
    <w:p>
      <w:pPr>
        <w:spacing w:after="0" w:line="189" w:lineRule="exact"/>
        <w:rPr>
          <w:rFonts w:ascii="Arial" w:cs="Arial" w:eastAsia="Arial" w:hAnsi="Arial"/>
          <w:sz w:val="18"/>
          <w:szCs w:val="18"/>
          <w:color w:val="auto"/>
        </w:rPr>
      </w:pPr>
    </w:p>
    <w:p>
      <w:pPr>
        <w:ind w:left="1260" w:hanging="604"/>
        <w:spacing w:after="0"/>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make provision for the issue and allotment of shares which do not carry any voting rights.</w:t>
      </w:r>
    </w:p>
    <w:p>
      <w:pPr>
        <w:spacing w:after="0" w:line="198"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Sole Member may from time to time by Resolution:</w:t>
      </w:r>
    </w:p>
    <w:p>
      <w:pPr>
        <w:spacing w:after="0" w:line="198" w:lineRule="exact"/>
        <w:rPr>
          <w:rFonts w:ascii="Arial" w:cs="Arial" w:eastAsia="Arial" w:hAnsi="Arial"/>
          <w:sz w:val="18"/>
          <w:szCs w:val="18"/>
          <w:color w:val="auto"/>
        </w:rPr>
      </w:pPr>
    </w:p>
    <w:p>
      <w:pPr>
        <w:ind w:left="1260" w:right="20" w:hanging="604"/>
        <w:spacing w:after="0" w:line="246" w:lineRule="auto"/>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cancel shares which, at the date of the passing of the Resolution in that behalf, have not been taken or agreed to be taken by any person, and diminish the amount of its share capital by the amount of the shares so cancelled; and</w:t>
      </w:r>
    </w:p>
    <w:p>
      <w:pPr>
        <w:spacing w:after="0" w:line="183" w:lineRule="exact"/>
        <w:rPr>
          <w:rFonts w:ascii="Arial" w:cs="Arial" w:eastAsia="Arial" w:hAnsi="Arial"/>
          <w:sz w:val="18"/>
          <w:szCs w:val="18"/>
          <w:color w:val="auto"/>
        </w:rPr>
      </w:pPr>
    </w:p>
    <w:p>
      <w:pPr>
        <w:ind w:left="1260" w:hanging="604"/>
        <w:spacing w:after="0"/>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change the currency denomination of its share capital.</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jc w:val="both"/>
        <w:ind w:left="660" w:hanging="652"/>
        <w:spacing w:after="0" w:line="23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Where any difficulty arises in regard to any division, consolidation, or sub-division under Bye-Laws 111 and 112, the Board may settle the same as it thinks expedient and, in particular, may arrange for the sale of the Shares representing fractions and the distribution of the net proceeds of sale to the Sole Member who would have been entitled to the fractions, and for this purpose the Board may authorise some person to transfer the Shares representing fractions to the purchaser thereof, who shall not be bound to see to the application of the purchase money nor shall his or her title to the Shares be affected by any irregularity or invalidity in the proceedings relating to the sale.</w:t>
      </w:r>
    </w:p>
    <w:p>
      <w:pPr>
        <w:spacing w:after="0" w:line="190"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to the Companies Acts and to any confirmation or consent required by law or these Bye-Laws, the Sole Member may by Resolution from time to time convert any preference Shares into redeemable preference Shares.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CAPITAL</w:t>
      </w:r>
    </w:p>
    <w:p>
      <w:pPr>
        <w:spacing w:after="0" w:line="220" w:lineRule="exact"/>
        <w:rPr>
          <w:sz w:val="20"/>
          <w:szCs w:val="20"/>
          <w:color w:val="auto"/>
        </w:rPr>
      </w:pPr>
    </w:p>
    <w:p>
      <w:pPr>
        <w:jc w:val="both"/>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the Companies Acts, its memorandum of association and any confirmation or consent required by law or these Bye-Laws, the Sole Member may from time to time by Resolution authorise the reduction of the Company’s issued Share capital or any Share premium account in any manner.</w:t>
      </w:r>
    </w:p>
    <w:p>
      <w:pPr>
        <w:spacing w:after="0" w:line="18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relation to any such reduction, the Sole Member may by Resolution determine the terms upon which such reduction is to be effected including, in the case of a reduction of part only of a class of Shares, those Shares to be affected.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 AND OTHER PAYMENTS</w:t>
      </w:r>
    </w:p>
    <w:p>
      <w:pPr>
        <w:spacing w:after="0" w:line="220" w:lineRule="exact"/>
        <w:rPr>
          <w:sz w:val="20"/>
          <w:szCs w:val="20"/>
          <w:color w:val="auto"/>
        </w:rPr>
      </w:pPr>
    </w:p>
    <w:p>
      <w:pPr>
        <w:jc w:val="both"/>
        <w:ind w:left="660" w:hanging="652"/>
        <w:spacing w:after="0" w:line="23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Board may from time to time declare distributions out of contributed surplus or dividends to be paid to the Sole Member according to their rights and interests, including such interim dividends as appear to the Board to be justified by the position of the Company. The Board, in its discretion, may determine that any dividend shall be paid in cash or shall be satisfied, subject to the Bye-Laws relating to the capitalisation of profits, in paying up in full Shares in the Company to be issued to the Sole Member credited as fully paid or partly paid or partly in one way and partly the other. The Board may also pay any fixed cash dividend which is payable on any Shares of the Company half yearly or on such other dates, whenever the position of the Company, in the opinion of the Board, justifies such payment.</w:t>
      </w:r>
    </w:p>
    <w:p>
      <w:pPr>
        <w:spacing w:after="0" w:line="189"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insofar as the rights attaching to, or the terms of issue of, any Share otherwise provide:</w:t>
      </w:r>
    </w:p>
    <w:p>
      <w:pPr>
        <w:spacing w:after="0" w:line="198" w:lineRule="exact"/>
        <w:rPr>
          <w:rFonts w:ascii="Arial" w:cs="Arial" w:eastAsia="Arial" w:hAnsi="Arial"/>
          <w:sz w:val="18"/>
          <w:szCs w:val="18"/>
          <w:color w:val="auto"/>
        </w:rPr>
      </w:pPr>
    </w:p>
    <w:p>
      <w:pPr>
        <w:jc w:val="both"/>
        <w:ind w:left="1260" w:hanging="604"/>
        <w:spacing w:after="0"/>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distributions out of contributed surplus or dividends may be declared and paid according to the amounts paid up on the Shares in respect of which the dividend or distribution is paid, and an amount paid up on a Share in advance of calls may be treated for the purpose of this Bye-Law as paid-up on the Share;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ind w:left="1260" w:hanging="604"/>
        <w:spacing w:after="0" w:line="245" w:lineRule="auto"/>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distributions out of contributed surplus or dividends may be apportioned and paid pro rata according to the amounts paid-up on the Shares during any portion or portions of the period in respect of which the dividend or distribution is paid.</w:t>
      </w:r>
    </w:p>
    <w:p>
      <w:pPr>
        <w:spacing w:after="0" w:line="184" w:lineRule="exact"/>
        <w:rPr>
          <w:rFonts w:ascii="Arial" w:cs="Arial" w:eastAsia="Arial" w:hAnsi="Arial"/>
          <w:sz w:val="18"/>
          <w:szCs w:val="18"/>
          <w:color w:val="auto"/>
        </w:rPr>
      </w:pPr>
    </w:p>
    <w:p>
      <w:pPr>
        <w:jc w:val="both"/>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may deduct from any dividend, distribution or other monies payable to a Member by the Company on or in respect of any Shares all sums of money (if any) presently payable by him or her to the Company on account of calls or otherwise in respect of Shares of the Company.</w:t>
      </w:r>
    </w:p>
    <w:p>
      <w:pPr>
        <w:spacing w:after="0" w:line="18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dividend, distribution or other monies payable by the Company on or in respect of any Share shall bear interest against the Company.</w:t>
      </w:r>
    </w:p>
    <w:p>
      <w:pPr>
        <w:spacing w:after="0" w:line="183" w:lineRule="exact"/>
        <w:rPr>
          <w:rFonts w:ascii="Arial" w:cs="Arial" w:eastAsia="Arial" w:hAnsi="Arial"/>
          <w:sz w:val="18"/>
          <w:szCs w:val="18"/>
          <w:color w:val="auto"/>
        </w:rPr>
      </w:pPr>
    </w:p>
    <w:p>
      <w:pPr>
        <w:jc w:val="both"/>
        <w:ind w:left="660" w:hanging="652"/>
        <w:spacing w:after="0" w:line="23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dividend, distribution or interest, or part thereof payable in cash, or any other sum payable in cash to the holder of Shares may be paid by cheque or warrant sent through the post or by courier addressed to the holder at his or her address in the Register or, in the case of joint holders, addressed to the holder whose name stands first in the Register in respect of the Shares at his or her registered address as appearing in the Register or addressed to such person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in the Register in respect of such Shares, and shall be sent at his or her or their risk and payment of the cheque or warrant by the bank on which it is drawn shall constitute a good discharge to the Company. Any one of two (2) or more joint holders may give effectual receipts for any dividends, distributions or other monies payable or property distributable in respect of the Shares held by such joint holders.</w:t>
      </w:r>
    </w:p>
    <w:p>
      <w:pPr>
        <w:spacing w:after="0" w:line="193"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dividend or distribution out of contributed surplus unclaimed for a period of six (6) years from the date of declaration of such dividend or distribution shall be forfeited and shall revert to the Company and the payment by the Board of any unclaimed dividend, distribution, interest or other sum payable on or in respect of the Share into a separate account shall not constitute the Company a trustee in respect thereof.</w:t>
      </w:r>
    </w:p>
    <w:p>
      <w:pPr>
        <w:spacing w:after="0" w:line="191" w:lineRule="exact"/>
        <w:rPr>
          <w:rFonts w:ascii="Arial" w:cs="Arial" w:eastAsia="Arial" w:hAnsi="Arial"/>
          <w:sz w:val="18"/>
          <w:szCs w:val="18"/>
          <w:color w:val="auto"/>
        </w:rPr>
      </w:pPr>
    </w:p>
    <w:p>
      <w:pPr>
        <w:jc w:val="both"/>
        <w:ind w:left="660" w:hanging="652"/>
        <w:spacing w:after="0" w:line="23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may also, in addition to its other powers, direct payment or satisfaction of any dividend or distribution out of contributed surplus wholly or in part by the distribution of specific assets, and in particular of paid-up Shares or debentures of any other company, and where any difficulty arises in regard to such distribution or dividend, the Board may settle it as it thinks expedient, and in particular, may authorise any person to sell and transfer any fractions or may ignore fractions altogether, and may fix the value for distribution or dividend purposes of any such specific assets and may determine that cash payments shall be made to the Sole Member upon the footing of the values so fixed in order to secure equality of distribution and may vest any such specific assets in trustees as may seem expedient to the Board, provided that such dividend or distribution may not be satisfied by the distribution of any partly paid Shares or debentures of any company without the sanction of a Resolution.</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jc w:val="both"/>
        <w:ind w:left="660" w:hanging="652"/>
        <w:spacing w:after="0" w:line="23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Where any difficulty arises in regard to any distribution under the last preceding Bye-Law, the Board may settle the same as they think expedient and, in particular, may authorise any person to sell and transfer any fractions or may resolve that the distribution should be as nearly as may be practicable in the correct proportion but not exactly so or may ignore fractions altogether, and may determine that cash payments should be made to the Sole Member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Sole Member.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RESERVES</w:t>
      </w:r>
    </w:p>
    <w:p>
      <w:pPr>
        <w:spacing w:after="0" w:line="220" w:lineRule="exact"/>
        <w:rPr>
          <w:sz w:val="20"/>
          <w:szCs w:val="20"/>
          <w:color w:val="auto"/>
        </w:rPr>
      </w:pPr>
    </w:p>
    <w:p>
      <w:pPr>
        <w:jc w:val="both"/>
        <w:ind w:left="660" w:hanging="652"/>
        <w:spacing w:after="0" w:line="23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Board may, before declaring any dividend or distribution out of contributed surplus, set aside such sums as it thinks proper as a reserve or reserves which shall, at the discretion of the Board, be applicable for any purpose of the Company, and pending such application may, in its discretion, be employed in the business of the Company or be invested in such manner as the Board may from time to time think fit. The Board may also without placing the same to reserve carry forward any sums which they think it prudent not to distribute.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CAPITALISATION OF PROFITS</w:t>
      </w:r>
    </w:p>
    <w:p>
      <w:pPr>
        <w:spacing w:after="0" w:line="220" w:lineRule="exact"/>
        <w:rPr>
          <w:sz w:val="20"/>
          <w:szCs w:val="20"/>
          <w:color w:val="auto"/>
        </w:rPr>
      </w:pPr>
    </w:p>
    <w:p>
      <w:pPr>
        <w:jc w:val="both"/>
        <w:ind w:left="660" w:hanging="652"/>
        <w:spacing w:after="0" w:line="23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Board may from time to time resolve to capitalise all or any part of any amount for the time being standing to the credit of any reserve or fund which is available for distribution or to the credit of any Share premium account and accordingly that such amount be set free for distribution to the Sole Member, on the footing that the same be not paid in cash but be applied either in or towards paying up amounts for the time being unpaid on any Shares in the Company held by the Sole Member or in payment up in full of unissued Shares, debentures or other obligations of the Company, to be allotted and distributed credited as fully paid to the Sole Member, or partly in one way and partly in the other, provided that for the purpose of this Bye-Law, a Share premium account may be applied only in paying up of unissued Shares to be issued to the Sole Member credited as fully paid.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 DATE</w:t>
      </w:r>
    </w:p>
    <w:p>
      <w:pPr>
        <w:spacing w:after="0" w:line="220" w:lineRule="exact"/>
        <w:rPr>
          <w:sz w:val="20"/>
          <w:szCs w:val="20"/>
          <w:color w:val="auto"/>
        </w:rPr>
      </w:pPr>
    </w:p>
    <w:p>
      <w:pPr>
        <w:jc w:val="both"/>
        <w:ind w:left="660" w:hanging="652"/>
        <w:spacing w:after="0" w:line="23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any other provisions of these Bye-Laws, the Sole Member may by Resolution or the Board may by majority vote fix any date as the record date for any dividend, distribution, allotment or issue and for the purpose of identifying the persons entitled to receive notices of any general meeting and to vote at any general meeting. Any such record date may be on or at any time before or after any date on which such dividend, distribution, allotment or issue is declared, paid or made or such notice is despatched.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RECORDS</w:t>
      </w:r>
    </w:p>
    <w:p>
      <w:pPr>
        <w:spacing w:after="0" w:line="220" w:lineRule="exact"/>
        <w:rPr>
          <w:sz w:val="20"/>
          <w:szCs w:val="20"/>
          <w:color w:val="auto"/>
        </w:rPr>
      </w:pPr>
    </w:p>
    <w:p>
      <w:pPr>
        <w:ind w:left="660" w:hanging="652"/>
        <w:spacing w:after="0" w:line="24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Board shall cause to be kept accounting records sufficient to give a true and fair view of the state of the Company’s affairs and to show and explain its transactions and otherwise in accordance with the Companies Acts.</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SERVICE OF NOTICES AND DOCUMENTS</w:t>
      </w:r>
    </w:p>
    <w:p>
      <w:pPr>
        <w:spacing w:after="0" w:line="219" w:lineRule="exact"/>
        <w:rPr>
          <w:sz w:val="20"/>
          <w:szCs w:val="20"/>
          <w:color w:val="auto"/>
        </w:rPr>
      </w:pPr>
    </w:p>
    <w:p>
      <w:pPr>
        <w:ind w:left="660" w:hanging="652"/>
        <w:spacing w:after="0" w:line="24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notice or other document (including, but not limited, to a Share certificate, any notice of a general meeting of the Company, any instrument of proxy and any records of account) may be sent to, served on or delivered to any Member by the Company:</w:t>
      </w:r>
    </w:p>
    <w:p>
      <w:pPr>
        <w:spacing w:after="0" w:line="183" w:lineRule="exact"/>
        <w:rPr>
          <w:rFonts w:ascii="Arial" w:cs="Arial" w:eastAsia="Arial" w:hAnsi="Arial"/>
          <w:sz w:val="18"/>
          <w:szCs w:val="18"/>
          <w:color w:val="auto"/>
        </w:rPr>
      </w:pPr>
    </w:p>
    <w:p>
      <w:pPr>
        <w:ind w:left="1260" w:hanging="604"/>
        <w:spacing w:after="0"/>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personally;</w:t>
      </w:r>
    </w:p>
    <w:p>
      <w:pPr>
        <w:spacing w:after="0" w:line="198" w:lineRule="exact"/>
        <w:rPr>
          <w:rFonts w:ascii="Arial" w:cs="Arial" w:eastAsia="Arial" w:hAnsi="Arial"/>
          <w:sz w:val="18"/>
          <w:szCs w:val="18"/>
          <w:color w:val="auto"/>
        </w:rPr>
      </w:pPr>
    </w:p>
    <w:p>
      <w:pPr>
        <w:ind w:left="1260" w:hanging="604"/>
        <w:spacing w:after="0" w:line="246" w:lineRule="auto"/>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by sending it through the post (by airmail where applicable) in a pre-paid letter addressed to such Member at his or her address as appearing in the Register;</w:t>
      </w:r>
    </w:p>
    <w:p>
      <w:pPr>
        <w:spacing w:after="0" w:line="183" w:lineRule="exact"/>
        <w:rPr>
          <w:rFonts w:ascii="Arial" w:cs="Arial" w:eastAsia="Arial" w:hAnsi="Arial"/>
          <w:sz w:val="18"/>
          <w:szCs w:val="18"/>
          <w:color w:val="auto"/>
        </w:rPr>
      </w:pPr>
    </w:p>
    <w:p>
      <w:pPr>
        <w:ind w:left="1260" w:hanging="604"/>
        <w:spacing w:after="0"/>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by sending it by courier to or leaving it at the Member’s address appearing in the Register;</w:t>
      </w:r>
    </w:p>
    <w:p>
      <w:pPr>
        <w:spacing w:after="0" w:line="198" w:lineRule="exact"/>
        <w:rPr>
          <w:rFonts w:ascii="Arial" w:cs="Arial" w:eastAsia="Arial" w:hAnsi="Arial"/>
          <w:sz w:val="18"/>
          <w:szCs w:val="18"/>
          <w:color w:val="auto"/>
        </w:rPr>
      </w:pPr>
    </w:p>
    <w:p>
      <w:pPr>
        <w:jc w:val="both"/>
        <w:ind w:left="1260" w:hanging="604"/>
        <w:spacing w:after="0"/>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where applicable, by sending it by email or facsimile or other mode of representing or reproducing words in a legible and non-transitory form or by sending an Electronic Record of it by electronic means, in each case to an address or number supplied by such Member for the purposes of communication in such manner; or</w:t>
      </w:r>
    </w:p>
    <w:p>
      <w:pPr>
        <w:spacing w:after="0" w:line="189" w:lineRule="exact"/>
        <w:rPr>
          <w:rFonts w:ascii="Arial" w:cs="Arial" w:eastAsia="Arial" w:hAnsi="Arial"/>
          <w:sz w:val="18"/>
          <w:szCs w:val="18"/>
          <w:color w:val="auto"/>
        </w:rPr>
      </w:pPr>
    </w:p>
    <w:p>
      <w:pPr>
        <w:jc w:val="both"/>
        <w:ind w:left="1260" w:hanging="604"/>
        <w:spacing w:after="0"/>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by publication of an Electronic Record of it on a website and notification of such publication (which shall include the address of the website, the place on the website where the document may be found, and how the document may be accessed on the website) by any of the methods referenced above, in accordance with the Companies Acts.</w:t>
      </w:r>
    </w:p>
    <w:p>
      <w:pPr>
        <w:spacing w:after="0" w:line="189"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In the case of joint holders of a Share, service or delivery of any notice or other document on or to one of the joint holders shall for all purposes be deemed as sufficient service on or delivery to all the joint holders.</w:t>
      </w:r>
    </w:p>
    <w:p>
      <w:pPr>
        <w:spacing w:after="0" w:line="183"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notice or other document shall be deemed to have been served on or delivered to any Member by the Company:</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sent by personal delivery, at the time of delivery;</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sent by post, forty-eight (48) hours after it was put in the post;</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sent by courier or facsimile, twenty-four (24) hours after sending;</w:t>
      </w:r>
    </w:p>
    <w:p>
      <w:pPr>
        <w:spacing w:after="0" w:line="198" w:lineRule="exact"/>
        <w:rPr>
          <w:rFonts w:ascii="Arial" w:cs="Arial" w:eastAsia="Arial" w:hAnsi="Arial"/>
          <w:sz w:val="18"/>
          <w:szCs w:val="18"/>
          <w:color w:val="auto"/>
        </w:rPr>
      </w:pPr>
    </w:p>
    <w:p>
      <w:pPr>
        <w:ind w:left="1260" w:right="20" w:hanging="604"/>
        <w:spacing w:after="0" w:line="246" w:lineRule="auto"/>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sent by email or other mode of representing or reproducing words in a legible and non-transitory form or as an Electronic Record by electronic means, twelve (12) hours after sending; or</w:t>
      </w:r>
    </w:p>
    <w:p>
      <w:pPr>
        <w:spacing w:after="0" w:line="183" w:lineRule="exact"/>
        <w:rPr>
          <w:rFonts w:ascii="Arial" w:cs="Arial" w:eastAsia="Arial" w:hAnsi="Arial"/>
          <w:sz w:val="18"/>
          <w:szCs w:val="18"/>
          <w:color w:val="auto"/>
        </w:rPr>
      </w:pPr>
    </w:p>
    <w:p>
      <w:pPr>
        <w:ind w:left="1260" w:hanging="604"/>
        <w:spacing w:after="0" w:line="246" w:lineRule="auto"/>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published as an Electronic Record on a website, at the time that the notification of such publication shall be deemed to have been delivered to such Member,</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both"/>
        <w:ind w:left="660"/>
        <w:spacing w:after="0" w:line="238" w:lineRule="auto"/>
        <w:rPr>
          <w:sz w:val="20"/>
          <w:szCs w:val="20"/>
          <w:color w:val="auto"/>
        </w:rPr>
      </w:pPr>
      <w:r>
        <w:rPr>
          <w:rFonts w:ascii="Arial" w:cs="Arial" w:eastAsia="Arial" w:hAnsi="Arial"/>
          <w:sz w:val="18"/>
          <w:szCs w:val="18"/>
          <w:color w:val="auto"/>
        </w:rPr>
        <w:t>and in proving such service or delivery, it shall be sufficient to prove that the notice or document was properly addressed and stamped and put in the post, published on a website in accordance with the Companies Acts and the provisions of these Bye-Laws, or sent by courier, facsimile, email or as an Electronic Record by electronic means, as the case may be, in accordance with these Bye-Laws.</w:t>
      </w:r>
    </w:p>
    <w:p>
      <w:pPr>
        <w:spacing w:after="0" w:line="191"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Sole Member and each person becoming a Member subsequent to the adoption of these Bye-Laws, by virtue of its holding or its acquisition and continued holding of a Share, as applicable, shall be deemed to have acknowledged and agreed that any notice or other document (excluding a Share certificate) may be provided by the Company by way of accessing them on a website instead of being provided by other means.</w:t>
      </w:r>
    </w:p>
    <w:p>
      <w:pPr>
        <w:spacing w:after="0" w:line="191" w:lineRule="exact"/>
        <w:rPr>
          <w:sz w:val="20"/>
          <w:szCs w:val="20"/>
          <w:color w:val="auto"/>
        </w:rPr>
      </w:pPr>
    </w:p>
    <w:p>
      <w:pPr>
        <w:jc w:val="both"/>
        <w:ind w:left="660" w:hanging="652"/>
        <w:spacing w:after="0" w:line="23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notice or other document delivered, sent or given to a Member in any manner permitted by these Bye-Laws shall, notwithstanding that such Member is then dead, dissolved or bankrupt or that any other event has occurred, and whether or not the Company has notice of the death, dissolution or bankruptcy or other event, be deemed to have been duly served or delivered in respect of any Share registered in the name of such Member as sole or joint holder unless his or her name shall, at the time of the service or delivery of the notice or document, have been removed from the Register as the holder of the Share, and such service or delivery shall for all purposes be deemed as sufficient service or delivery of such notice or document on all persons interested (whether jointly with or as claiming through or under him or her) in the Share.</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Save as otherwise provided, the provisions of these Bye-Laws as to service of notices and other documents on the Sole Member shall mutatis mutandis apply to service or delivery of notices and other documents to the Company or any Director, alternate Director or Resident Representative pursuant to these Bye-Laws.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w:t>
      </w:r>
    </w:p>
    <w:p>
      <w:pPr>
        <w:spacing w:after="0" w:line="220" w:lineRule="exact"/>
        <w:rPr>
          <w:sz w:val="20"/>
          <w:szCs w:val="20"/>
          <w:color w:val="auto"/>
        </w:rPr>
      </w:pPr>
    </w:p>
    <w:p>
      <w:pPr>
        <w:jc w:val="both"/>
        <w:ind w:left="660" w:hanging="652"/>
        <w:spacing w:after="0" w:line="23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Indemnified Person shall be indemnified and secured harmless out of the assets of the Company from and against all actions, liabilities, costs, charges, losses, damages and expenses which they or any of them, their heirs, executors or administrators, shall or may incur or sustain by or by reason of any act done, concurred in, conceived in or omitted in or about the execution of their duty, or supposed duty, or in their respective offices or trust, or in the reasonable belief that he has been appointed or elected to such office or trust notwithstanding any defect in such appointment or election, and no Indemnified Person shall be answerable for the acts, receipts, neglects, defaults or omissions of the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to the extent prohibited by the Companies Acts in relation to the Company which may attach to any Indemnified Person.</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jc w:val="both"/>
        <w:ind w:left="660"/>
        <w:spacing w:after="0" w:line="238" w:lineRule="auto"/>
        <w:rPr>
          <w:sz w:val="20"/>
          <w:szCs w:val="20"/>
          <w:color w:val="auto"/>
        </w:rPr>
      </w:pPr>
      <w:r>
        <w:rPr>
          <w:rFonts w:ascii="Arial" w:cs="Arial" w:eastAsia="Arial" w:hAnsi="Arial"/>
          <w:sz w:val="18"/>
          <w:szCs w:val="18"/>
          <w:color w:val="auto"/>
        </w:rPr>
        <w:t>The Sole Member and the Company agree to waive any claim or right of action the Sole Member or the Company might have, whether individually or by or in the right of the Company, against any Indemnified Person on account of any action taken by such Indemnified Person, or the failure of such Indemnified Person to take any action in the performance of his or her duties with or for the Company or any subsidiary thereof, provided that such waiver shall not extend to any matter in respect of any fraud in relation to the Company which may attach to such Indemnified Person.</w:t>
      </w:r>
    </w:p>
    <w:p>
      <w:pPr>
        <w:spacing w:after="0" w:line="189" w:lineRule="exact"/>
        <w:rPr>
          <w:sz w:val="20"/>
          <w:szCs w:val="20"/>
          <w:color w:val="auto"/>
        </w:rPr>
      </w:pPr>
    </w:p>
    <w:p>
      <w:pPr>
        <w:jc w:val="both"/>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the extent that any Indemnified Person is entitled to claim an indemnity pursuant to these Bye-Laws in respect of amounts paid or discharged by such Indemnified Person, the relevant indemnity shall take effect as an obligation of the Company to reimburse the person making such payment or effecting such discharge.</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may purchase and maintain insurance for the benefit of any Indemnified Person against any liability incurred by him or her under the Companies Acts in his or her capacity as an Indemnified Person or indemnifying such Indemnified Person in respect of any loss arising or liability attaching to him or her by virtue of any rule of law in respect of any negligence, default, breach of duty or breach of trust of which the Indemnified Person may be guilty in relation to the Company or any subsidiary thereof.</w:t>
      </w:r>
    </w:p>
    <w:p>
      <w:pPr>
        <w:spacing w:after="0" w:line="191" w:lineRule="exact"/>
        <w:rPr>
          <w:rFonts w:ascii="Arial" w:cs="Arial" w:eastAsia="Arial" w:hAnsi="Arial"/>
          <w:sz w:val="18"/>
          <w:szCs w:val="18"/>
          <w:color w:val="auto"/>
        </w:rPr>
      </w:pPr>
    </w:p>
    <w:p>
      <w:pPr>
        <w:jc w:val="both"/>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may advance moneys to any Indemnified Person for the costs, charges and expenses incurred by the Indemnified Person in defending any civil or criminal proceedings against him or her, on condition that the Indemnified Person shall repay such portion of the advance attributable to any claim of fraud or dishonesty if such claim is proved against him or her.</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amendment or repeal of any provision of Bye-Laws 133 through 137 inclusive shall alter, to the detriment of any Indemnified Person, the right of such Indemnified Person to the indemnification or advancement of expenses related to a claim based on an act or failure to act which took place prior to such amendments.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CONTINUATION</w:t>
      </w:r>
    </w:p>
    <w:p>
      <w:pPr>
        <w:spacing w:after="0" w:line="220" w:lineRule="exact"/>
        <w:rPr>
          <w:sz w:val="20"/>
          <w:szCs w:val="20"/>
          <w:color w:val="auto"/>
        </w:rPr>
      </w:pPr>
    </w:p>
    <w:p>
      <w:pPr>
        <w:jc w:val="both"/>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the Companies Acts, the Board may approve the discontinuation of the Company in Bermuda and the continuation of the Company in a jurisdiction outside Bermuda. The Board, having resolved to approve the discontinuation of the Company, may further resolve not to proceed with any application to discontinue the Company in Bermuda or may vary such application as it sees fit.</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Sumitovant Biopharma Completes Acquisition of Myovant Sciences</w:t>
      </w:r>
    </w:p>
    <w:p>
      <w:pPr>
        <w:spacing w:after="0" w:line="252"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color w:val="auto"/>
        </w:rPr>
        <w:t xml:space="preserve">NEW YORK and BASEL, Switzerland, March 10, 2023 </w:t>
      </w:r>
      <w:r>
        <w:rPr>
          <w:rFonts w:ascii="Arial" w:cs="Arial" w:eastAsia="Arial" w:hAnsi="Arial"/>
          <w:sz w:val="16"/>
          <w:szCs w:val="16"/>
          <w:color w:val="auto"/>
        </w:rPr>
        <w:t>-- Sumitovant Biopharma Ltd. (“Sumitovant”) and Myovant Sciences Ltd. (“Myovant”)</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today that Sumitovant has successfully completed its acquisition of Myovant originally announced October 23, 2022. Sumitovant has acquired all outstanding shares of Myovant not already owned by Sumitovant in an all-cash deal with a total transaction value of approximately $1.7 billion. With the completion of the acquisition, Myovant will be delisted from the New York Stock Exchange, and its shares will no longer be publicly traded.</w:t>
      </w:r>
    </w:p>
    <w:p>
      <w:pPr>
        <w:spacing w:after="0" w:line="18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excited to have officially completed our acquisition of Myovant and look forward to working together to address unmet needs in women’s health and prostate cancer,” said Myrtle Potter, CEO of Sumitovant. “By combining our unique expertise, platforms and resources, we will be better positioned to drive the growth of Myovant’s products and accelerate the development of our robust combined pipeline.”</w:t>
      </w:r>
    </w:p>
    <w:p>
      <w:pPr>
        <w:spacing w:after="0" w:line="211" w:lineRule="exact"/>
        <w:rPr>
          <w:sz w:val="20"/>
          <w:szCs w:val="20"/>
          <w:color w:val="auto"/>
        </w:rPr>
      </w:pPr>
    </w:p>
    <w:p>
      <w:pPr>
        <w:ind w:right="260"/>
        <w:spacing w:after="0" w:line="212" w:lineRule="auto"/>
        <w:rPr>
          <w:sz w:val="20"/>
          <w:szCs w:val="20"/>
          <w:color w:val="auto"/>
        </w:rPr>
      </w:pPr>
      <w:r>
        <w:rPr>
          <w:rFonts w:ascii="Arial" w:cs="Arial" w:eastAsia="Arial" w:hAnsi="Arial"/>
          <w:sz w:val="18"/>
          <w:szCs w:val="18"/>
          <w:color w:val="auto"/>
        </w:rPr>
        <w:t>“I am confident that bringing together the capabilities and strengths of Sumitovant and Myovant will best position us to continue delivering innovative therapies to patients sooner and accelerate the potential opportunities for ORGOVYX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MYFEMBREE</w:t>
      </w:r>
      <w:r>
        <w:rPr>
          <w:rFonts w:ascii="Arial" w:cs="Arial" w:eastAsia="Arial" w:hAnsi="Arial"/>
          <w:sz w:val="29"/>
          <w:szCs w:val="29"/>
          <w:color w:val="auto"/>
          <w:vertAlign w:val="superscript"/>
        </w:rPr>
        <w:t>®</w:t>
      </w:r>
      <w:r>
        <w:rPr>
          <w:rFonts w:ascii="Arial" w:cs="Arial" w:eastAsia="Arial" w:hAnsi="Arial"/>
          <w:sz w:val="18"/>
          <w:szCs w:val="18"/>
          <w:color w:val="auto"/>
        </w:rPr>
        <w:t>,” said Hiroshi Nomura, CEO of Sumitomo Pharma.</w:t>
      </w:r>
    </w:p>
    <w:p>
      <w:pPr>
        <w:spacing w:after="0" w:line="23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 look forward to all we will be able to achieve with the support of Sumitovant and Sumitomo Pharma to expand the impact of our differentiated therapies and advance our clinical programs,” said David Marek, CEO of Myovant. “We remain steadfast in our commitment to advance life-changing medicine and health equity for the patient communities we serve.”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J.P. Morgan Securities LLC served as financial advisor and Sullivan &amp; Cromwell LLP served as legal counsel to Sumitovant and Sumitomo Pharma. Goldman Sachs &amp; Co. LLC served as financial advisor to the Special Committee of the Board of Directors of Myovant and Skadden, Arps, Slate, Meagher &amp; Flom LLP served as legal counsel to the Special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Sumitovant Biopharma Ltd.</w:t>
      </w:r>
    </w:p>
    <w:p>
      <w:pPr>
        <w:spacing w:after="0" w:line="256"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Sumitovant is a technology-driven biopharmaceutical company accelerating development and commercialization of new potential therapies for patients with rare conditions and other diseases. Through our proprietary computing and data platforms, scientific expertise and diverse company portfolio, Sumitovant has supported development of multiple FDA-approved products and a robust pipeline of early- through late-stage investigational assets addressing unmet patient needs in pediatrics, urology, oncology, women’s health, specialty respiratory and infectious diseases. Sumitovant is a wholly owned subsidiary of Sumitomo Pharma. Please visit our website www.sumitovant.com for more information on Sumitovant and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About Myovant Sciences</w:t>
      </w:r>
    </w:p>
    <w:p>
      <w:pPr>
        <w:spacing w:after="0" w:line="256"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Myovant Sciences aspires to redefine care for women and men through purpose-driven science, empowering medicines, and transformative advocacy worldwide. Since its formation in 2016, Myovant has secured five regulatory approvals in the United States and Europe for its products ORGOVYX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MYFEMBREE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hormone-sensitive oncology and women's health, respectively. Myovant and its partners continue to file for additional indications of its products, as well as advance development of its pipeline. Myovant is a wholly owned subsidiary of Sumitovant Biopharma Ltd., as of March 10, 2023. For more information, please visit www.myovant.com.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including statements about the benefits of the transaction involving Myovant, Sumitovant and Sumitomo Pharma. Forward-looking statements include all statements that are not historical statements of fact and statements regarding Sumitovant’s, Myovant’s and Sumitomo Pharma’s intent, belief or expectations and can be identified by words such as “anticipate,” “believe,” “can,” “continue,” “could,” “estimate,” “expect,” “intend,” “likely,” “may,” “might,” “objective,” “ongoing,” “plan,” “potential,” “predict,” “project,” “should,” “strive,” “to be,” “will,” “would,” or the negative or plural of these words or other similar expressions or variations, although not all forward-looking statements contain these identifying words. Forward-looking statements are based on management’s assumptions about future events and are subject to risks, uncertainties and other factors known or unknown that may cause actual results to differ materially from the views, beliefs, projections and estimates expressed in such statements. The risks, uncertainties and other factors include, but are not limited to the statement of the benefits of, effect of the announcement of the closing of the transaction on Myovant’s, Sumitovant’s or Sumitomo Pharma’s business; the risk that Myovant, Sumitovant and/or Sumitomo Pharma will not realize the anticipated benefits of the transaction; the potential inability to successfully integrate Myovant’s business; general industry and economic conditions; and other risks and uncertainties listed in Myovant’s filings with the U.S. Securities and Exchange Commission (the “SEC”), including under the heading “Risk Factors” in Myovant’s Quarterly Report on Form 10-Q filed with the SEC on January 26, 2023 as such risk factors may be amended, supplemented or superseded from time to time by other filings with the SEC. Given these risks and uncertainties, you should not place undue reliance on any forward-looking statements. These forward-looking statements are based on information available to Sumitovant and Sumitomo Pharma as of the date of this communication and speak only as of the date of this communication. Myovant, Sumitovant and Sumitomo Pharma disclaim any obligation to update these forward-looking statements, except as may be required by law.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IR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Sumitovant Biopharma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Maya Frutiger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Head of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media@sumitovant.com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60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104"/>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3"/>
    </w:lvl>
    <w:lvl w:ilvl="1">
      <w:lvlJc w:val="left"/>
      <w:lvlText w:val="(%2)"/>
      <w:numFmt w:val="lowerRoman"/>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2"/>
    </w:lvl>
  </w:abstractNum>
  <w:abstractNum w:abstractNumId="6">
    <w:nsid w:val="614FD4A1"/>
    <w:multiLevelType w:val="hybridMultilevel"/>
    <w:lvl w:ilvl="0">
      <w:lvlJc w:val="left"/>
      <w:lvlText w:val="%1."/>
      <w:numFmt w:val="decimal"/>
      <w:start w:val="3"/>
    </w:lvl>
  </w:abstractNum>
  <w:abstractNum w:abstractNumId="7">
    <w:nsid w:val="419AC241"/>
    <w:multiLevelType w:val="hybridMultilevel"/>
    <w:lvl w:ilvl="0">
      <w:lvlJc w:val="left"/>
      <w:lvlText w:val="%1."/>
      <w:numFmt w:val="decimal"/>
      <w:start w:val="7"/>
    </w:lvl>
  </w:abstractNum>
  <w:abstractNum w:abstractNumId="8">
    <w:nsid w:val="5577F8E1"/>
    <w:multiLevelType w:val="hybridMultilevel"/>
    <w:lvl w:ilvl="0">
      <w:lvlJc w:val="left"/>
      <w:lvlText w:val="%1."/>
      <w:numFmt w:val="decimal"/>
      <w:start w:val="14"/>
    </w:lvl>
  </w:abstractNum>
  <w:abstractNum w:abstractNumId="9">
    <w:nsid w:val="440BADFC"/>
    <w:multiLevelType w:val="hybridMultilevel"/>
    <w:lvl w:ilvl="0">
      <w:lvlJc w:val="left"/>
      <w:lvlText w:val="%1."/>
      <w:numFmt w:val="decimal"/>
      <w:start w:val="22"/>
    </w:lvl>
  </w:abstractNum>
  <w:abstractNum w:abstractNumId="10">
    <w:nsid w:val="5072367"/>
    <w:multiLevelType w:val="hybridMultilevel"/>
    <w:lvl w:ilvl="0">
      <w:lvlJc w:val="left"/>
      <w:lvlText w:val="%1."/>
      <w:numFmt w:val="decimal"/>
      <w:start w:val="28"/>
    </w:lvl>
  </w:abstractNum>
  <w:abstractNum w:abstractNumId="11">
    <w:nsid w:val="3804823E"/>
    <w:multiLevelType w:val="hybridMultilevel"/>
    <w:lvl w:ilvl="0">
      <w:lvlJc w:val="left"/>
      <w:lvlText w:val="%1."/>
      <w:numFmt w:val="decimal"/>
      <w:start w:val="30"/>
    </w:lvl>
  </w:abstractNum>
  <w:abstractNum w:abstractNumId="12">
    <w:nsid w:val="77465F01"/>
    <w:multiLevelType w:val="hybridMultilevel"/>
    <w:lvl w:ilvl="0">
      <w:lvlJc w:val="left"/>
      <w:lvlText w:val="%1."/>
      <w:numFmt w:val="decimal"/>
      <w:start w:val="37"/>
    </w:lvl>
  </w:abstractNum>
  <w:abstractNum w:abstractNumId="13">
    <w:nsid w:val="7724C67E"/>
    <w:multiLevelType w:val="hybridMultilevel"/>
    <w:lvl w:ilvl="0">
      <w:lvlJc w:val="left"/>
      <w:lvlText w:val="%1."/>
      <w:numFmt w:val="decimal"/>
      <w:start w:val="38"/>
    </w:lvl>
  </w:abstractNum>
  <w:abstractNum w:abstractNumId="14">
    <w:nsid w:val="5C482A97"/>
    <w:multiLevelType w:val="hybridMultilevel"/>
    <w:lvl w:ilvl="0">
      <w:lvlJc w:val="left"/>
      <w:lvlText w:val="%1."/>
      <w:numFmt w:val="decimal"/>
      <w:start w:val="40"/>
    </w:lvl>
  </w:abstractNum>
  <w:abstractNum w:abstractNumId="15">
    <w:nsid w:val="2463B9EA"/>
    <w:multiLevelType w:val="hybridMultilevel"/>
    <w:lvl w:ilvl="0">
      <w:lvlJc w:val="left"/>
      <w:lvlText w:val="%1."/>
      <w:numFmt w:val="decimal"/>
      <w:start w:val="43"/>
    </w:lvl>
  </w:abstractNum>
  <w:abstractNum w:abstractNumId="16">
    <w:nsid w:val="5E884ADC"/>
    <w:multiLevelType w:val="hybridMultilevel"/>
    <w:lvl w:ilvl="0">
      <w:lvlJc w:val="left"/>
      <w:lvlText w:val="%1."/>
      <w:numFmt w:val="decimal"/>
      <w:start w:val="44"/>
    </w:lvl>
    <w:lvl w:ilvl="1">
      <w:lvlJc w:val="left"/>
      <w:lvlText w:val="(%2)"/>
      <w:numFmt w:val="lowerLetter"/>
      <w:start w:val="1"/>
    </w:lvl>
  </w:abstractNum>
  <w:abstractNum w:abstractNumId="17">
    <w:nsid w:val="51EAD36B"/>
    <w:multiLevelType w:val="hybridMultilevel"/>
    <w:lvl w:ilvl="0">
      <w:lvlJc w:val="left"/>
      <w:lvlText w:val="%1."/>
      <w:numFmt w:val="decimal"/>
      <w:start w:val="47"/>
    </w:lvl>
  </w:abstractNum>
  <w:abstractNum w:abstractNumId="18">
    <w:nsid w:val="2D517796"/>
    <w:multiLevelType w:val="hybridMultilevel"/>
    <w:lvl w:ilvl="0">
      <w:lvlJc w:val="left"/>
      <w:lvlText w:val="%1."/>
      <w:numFmt w:val="decimal"/>
      <w:start w:val="49"/>
    </w:lvl>
  </w:abstractNum>
  <w:abstractNum w:abstractNumId="19">
    <w:nsid w:val="580BD78F"/>
    <w:multiLevelType w:val="hybridMultilevel"/>
    <w:lvl w:ilvl="0">
      <w:lvlJc w:val="left"/>
      <w:lvlText w:val="%1."/>
      <w:numFmt w:val="decimal"/>
      <w:start w:val="50"/>
    </w:lvl>
  </w:abstractNum>
  <w:abstractNum w:abstractNumId="20">
    <w:nsid w:val="153EA438"/>
    <w:multiLevelType w:val="hybridMultilevel"/>
    <w:lvl w:ilvl="0">
      <w:lvlJc w:val="left"/>
      <w:lvlText w:val="%1."/>
      <w:numFmt w:val="decimal"/>
      <w:start w:val="51"/>
    </w:lvl>
  </w:abstractNum>
  <w:abstractNum w:abstractNumId="21">
    <w:nsid w:val="3855585C"/>
    <w:multiLevelType w:val="hybridMultilevel"/>
    <w:lvl w:ilvl="0">
      <w:lvlJc w:val="left"/>
      <w:lvlText w:val="%1."/>
      <w:numFmt w:val="decimal"/>
      <w:start w:val="54"/>
    </w:lvl>
  </w:abstractNum>
  <w:abstractNum w:abstractNumId="22">
    <w:nsid w:val="70A64E2A"/>
    <w:multiLevelType w:val="hybridMultilevel"/>
    <w:lvl w:ilvl="0">
      <w:lvlJc w:val="left"/>
      <w:lvlText w:val="%1."/>
      <w:numFmt w:val="decimal"/>
      <w:start w:val="57"/>
    </w:lvl>
    <w:lvl w:ilvl="1">
      <w:lvlJc w:val="left"/>
      <w:lvlText w:val="(%2)"/>
      <w:numFmt w:val="lowerLetter"/>
      <w:start w:val="1"/>
    </w:lvl>
  </w:abstractNum>
  <w:abstractNum w:abstractNumId="23">
    <w:nsid w:val="6A2342EC"/>
    <w:multiLevelType w:val="hybridMultilevel"/>
    <w:lvl w:ilvl="0">
      <w:lvlJc w:val="left"/>
      <w:lvlText w:val="(%1)"/>
      <w:numFmt w:val="lowerLetter"/>
      <w:start w:val="3"/>
    </w:lvl>
  </w:abstractNum>
  <w:abstractNum w:abstractNumId="24">
    <w:nsid w:val="2A487CB0"/>
    <w:multiLevelType w:val="hybridMultilevel"/>
    <w:lvl w:ilvl="0">
      <w:lvlJc w:val="left"/>
      <w:lvlText w:val="%1."/>
      <w:numFmt w:val="decimal"/>
      <w:start w:val="59"/>
    </w:lvl>
  </w:abstractNum>
  <w:abstractNum w:abstractNumId="25">
    <w:nsid w:val="1D4ED43B"/>
    <w:multiLevelType w:val="hybridMultilevel"/>
    <w:lvl w:ilvl="0">
      <w:lvlJc w:val="left"/>
      <w:lvlText w:val="%1."/>
      <w:numFmt w:val="decimal"/>
      <w:start w:val="60"/>
    </w:lvl>
  </w:abstractNum>
  <w:abstractNum w:abstractNumId="26">
    <w:nsid w:val="725A06FB"/>
    <w:multiLevelType w:val="hybridMultilevel"/>
    <w:lvl w:ilvl="0">
      <w:lvlJc w:val="left"/>
      <w:lvlText w:val="%1."/>
      <w:numFmt w:val="decimal"/>
      <w:start w:val="62"/>
    </w:lvl>
  </w:abstractNum>
  <w:abstractNum w:abstractNumId="27">
    <w:nsid w:val="2CD89A32"/>
    <w:multiLevelType w:val="hybridMultilevel"/>
    <w:lvl w:ilvl="0">
      <w:lvlJc w:val="left"/>
      <w:lvlText w:val="%1."/>
      <w:numFmt w:val="decimal"/>
      <w:start w:val="70"/>
    </w:lvl>
  </w:abstractNum>
  <w:abstractNum w:abstractNumId="28">
    <w:nsid w:val="57E4CCAF"/>
    <w:multiLevelType w:val="hybridMultilevel"/>
    <w:lvl w:ilvl="0">
      <w:lvlJc w:val="left"/>
      <w:lvlText w:val="%1."/>
      <w:numFmt w:val="decimal"/>
      <w:start w:val="72"/>
    </w:lvl>
  </w:abstractNum>
  <w:abstractNum w:abstractNumId="29">
    <w:nsid w:val="7A6D8D3C"/>
    <w:multiLevelType w:val="hybridMultilevel"/>
    <w:lvl w:ilvl="0">
      <w:lvlJc w:val="left"/>
      <w:lvlText w:val="%1."/>
      <w:numFmt w:val="decimal"/>
      <w:start w:val="74"/>
    </w:lvl>
  </w:abstractNum>
  <w:abstractNum w:abstractNumId="30">
    <w:nsid w:val="4B588F54"/>
    <w:multiLevelType w:val="hybridMultilevel"/>
    <w:lvl w:ilvl="0">
      <w:lvlJc w:val="left"/>
      <w:lvlText w:val="%1."/>
      <w:numFmt w:val="decimal"/>
      <w:start w:val="75"/>
    </w:lvl>
    <w:lvl w:ilvl="1">
      <w:lvlJc w:val="left"/>
      <w:lvlText w:val="(%2)"/>
      <w:numFmt w:val="lowerLetter"/>
      <w:start w:val="1"/>
    </w:lvl>
  </w:abstractNum>
  <w:abstractNum w:abstractNumId="31">
    <w:nsid w:val="542289EC"/>
    <w:multiLevelType w:val="hybridMultilevel"/>
    <w:lvl w:ilvl="0">
      <w:lvlJc w:val="left"/>
      <w:lvlText w:val="%1."/>
      <w:numFmt w:val="decimal"/>
      <w:start w:val="76"/>
    </w:lvl>
  </w:abstractNum>
  <w:abstractNum w:abstractNumId="32">
    <w:nsid w:val="6DE91B18"/>
    <w:multiLevelType w:val="hybridMultilevel"/>
    <w:lvl w:ilvl="0">
      <w:lvlJc w:val="left"/>
      <w:lvlText w:val="%1."/>
      <w:numFmt w:val="decimal"/>
      <w:start w:val="78"/>
    </w:lvl>
  </w:abstractNum>
  <w:abstractNum w:abstractNumId="33">
    <w:nsid w:val="38437FDB"/>
    <w:multiLevelType w:val="hybridMultilevel"/>
    <w:lvl w:ilvl="0">
      <w:lvlJc w:val="left"/>
      <w:lvlText w:val="%1."/>
      <w:numFmt w:val="decimal"/>
      <w:start w:val="80"/>
    </w:lvl>
  </w:abstractNum>
  <w:abstractNum w:abstractNumId="34">
    <w:nsid w:val="7644A45C"/>
    <w:multiLevelType w:val="hybridMultilevel"/>
    <w:lvl w:ilvl="0">
      <w:lvlJc w:val="left"/>
      <w:lvlText w:val="%1."/>
      <w:numFmt w:val="decimal"/>
      <w:start w:val="81"/>
    </w:lvl>
  </w:abstractNum>
  <w:abstractNum w:abstractNumId="35">
    <w:nsid w:val="32FFF902"/>
    <w:multiLevelType w:val="hybridMultilevel"/>
    <w:lvl w:ilvl="0">
      <w:lvlJc w:val="left"/>
      <w:lvlText w:val="%1."/>
      <w:numFmt w:val="decimal"/>
      <w:start w:val="83"/>
    </w:lvl>
  </w:abstractNum>
  <w:abstractNum w:abstractNumId="36">
    <w:nsid w:val="684A481A"/>
    <w:multiLevelType w:val="hybridMultilevel"/>
    <w:lvl w:ilvl="0">
      <w:lvlJc w:val="left"/>
      <w:lvlText w:val="%1."/>
      <w:numFmt w:val="decimal"/>
      <w:start w:val="84"/>
    </w:lvl>
  </w:abstractNum>
  <w:abstractNum w:abstractNumId="37">
    <w:nsid w:val="579478FE"/>
    <w:multiLevelType w:val="hybridMultilevel"/>
    <w:lvl w:ilvl="0">
      <w:lvlJc w:val="left"/>
      <w:lvlText w:val="%1."/>
      <w:numFmt w:val="decimal"/>
      <w:start w:val="86"/>
    </w:lvl>
  </w:abstractNum>
  <w:abstractNum w:abstractNumId="38">
    <w:nsid w:val="749ABB43"/>
    <w:multiLevelType w:val="hybridMultilevel"/>
    <w:lvl w:ilvl="0">
      <w:lvlJc w:val="left"/>
      <w:lvlText w:val="%1."/>
      <w:numFmt w:val="decimal"/>
      <w:start w:val="88"/>
    </w:lvl>
  </w:abstractNum>
  <w:abstractNum w:abstractNumId="39">
    <w:nsid w:val="3DC240FB"/>
    <w:multiLevelType w:val="hybridMultilevel"/>
    <w:lvl w:ilvl="0">
      <w:lvlJc w:val="left"/>
      <w:lvlText w:val="%1."/>
      <w:numFmt w:val="decimal"/>
      <w:start w:val="93"/>
    </w:lvl>
  </w:abstractNum>
  <w:abstractNum w:abstractNumId="40">
    <w:nsid w:val="1BA026FA"/>
    <w:multiLevelType w:val="hybridMultilevel"/>
    <w:lvl w:ilvl="0">
      <w:lvlJc w:val="left"/>
      <w:lvlText w:val="%1."/>
      <w:numFmt w:val="decimal"/>
      <w:start w:val="100"/>
    </w:lvl>
  </w:abstractNum>
  <w:abstractNum w:abstractNumId="41">
    <w:nsid w:val="79A1DEAA"/>
    <w:multiLevelType w:val="hybridMultilevel"/>
    <w:lvl w:ilvl="0">
      <w:lvlJc w:val="left"/>
      <w:lvlText w:val="%1."/>
      <w:numFmt w:val="decimal"/>
      <w:start w:val="101"/>
    </w:lvl>
    <w:lvl w:ilvl="1">
      <w:lvlJc w:val="left"/>
      <w:lvlText w:val="(%2)"/>
      <w:numFmt w:val="lowerLetter"/>
      <w:start w:val="1"/>
    </w:lvl>
  </w:abstractNum>
  <w:abstractNum w:abstractNumId="42">
    <w:nsid w:val="75C6C33A"/>
    <w:multiLevelType w:val="hybridMultilevel"/>
    <w:lvl w:ilvl="0">
      <w:lvlJc w:val="left"/>
      <w:lvlText w:val="%1."/>
      <w:numFmt w:val="decimal"/>
      <w:start w:val="107"/>
    </w:lvl>
  </w:abstractNum>
  <w:abstractNum w:abstractNumId="43">
    <w:nsid w:val="12E685FB"/>
    <w:multiLevelType w:val="hybridMultilevel"/>
    <w:lvl w:ilvl="0">
      <w:lvlJc w:val="left"/>
      <w:lvlText w:val="%1."/>
      <w:numFmt w:val="decimal"/>
      <w:start w:val="108"/>
    </w:lvl>
  </w:abstractNum>
  <w:abstractNum w:abstractNumId="44">
    <w:nsid w:val="70C6A529"/>
    <w:multiLevelType w:val="hybridMultilevel"/>
    <w:lvl w:ilvl="0">
      <w:lvlJc w:val="left"/>
      <w:lvlText w:val="%1."/>
      <w:numFmt w:val="decimal"/>
      <w:start w:val="111"/>
    </w:lvl>
    <w:lvl w:ilvl="1">
      <w:lvlJc w:val="left"/>
      <w:lvlText w:val="(%2)"/>
      <w:numFmt w:val="lowerLetter"/>
      <w:start w:val="1"/>
    </w:lvl>
  </w:abstractNum>
  <w:abstractNum w:abstractNumId="45">
    <w:nsid w:val="520EEDD1"/>
    <w:multiLevelType w:val="hybridMultilevel"/>
    <w:lvl w:ilvl="0">
      <w:lvlJc w:val="left"/>
      <w:lvlText w:val="%1."/>
      <w:numFmt w:val="decimal"/>
      <w:start w:val="113"/>
    </w:lvl>
  </w:abstractNum>
  <w:abstractNum w:abstractNumId="46">
    <w:nsid w:val="374A3FE6"/>
    <w:multiLevelType w:val="hybridMultilevel"/>
    <w:lvl w:ilvl="0">
      <w:lvlJc w:val="left"/>
      <w:lvlText w:val="%1."/>
      <w:numFmt w:val="decimal"/>
      <w:start w:val="115"/>
    </w:lvl>
  </w:abstractNum>
  <w:abstractNum w:abstractNumId="47">
    <w:nsid w:val="4F4EF005"/>
    <w:multiLevelType w:val="hybridMultilevel"/>
    <w:lvl w:ilvl="0">
      <w:lvlJc w:val="left"/>
      <w:lvlText w:val="%1."/>
      <w:numFmt w:val="decimal"/>
      <w:start w:val="117"/>
    </w:lvl>
    <w:lvl w:ilvl="1">
      <w:lvlJc w:val="left"/>
      <w:lvlText w:val="(%2)"/>
      <w:numFmt w:val="lowerLetter"/>
      <w:start w:val="1"/>
    </w:lvl>
  </w:abstractNum>
  <w:abstractNum w:abstractNumId="48">
    <w:nsid w:val="23F9C13C"/>
    <w:multiLevelType w:val="hybridMultilevel"/>
    <w:lvl w:ilvl="0">
      <w:lvlJc w:val="left"/>
      <w:lvlText w:val="%1"/>
      <w:numFmt w:val="decimal"/>
      <w:start w:val="1"/>
    </w:lvl>
    <w:lvl w:ilvl="1">
      <w:lvlJc w:val="left"/>
      <w:lvlText w:val="(%2)"/>
      <w:numFmt w:val="lowerLetter"/>
      <w:start w:val="2"/>
    </w:lvl>
  </w:abstractNum>
  <w:abstractNum w:abstractNumId="49">
    <w:nsid w:val="649BB77C"/>
    <w:multiLevelType w:val="hybridMultilevel"/>
    <w:lvl w:ilvl="0">
      <w:lvlJc w:val="left"/>
      <w:lvlText w:val="%1."/>
      <w:numFmt w:val="decimal"/>
      <w:start w:val="119"/>
    </w:lvl>
    <w:lvl w:ilvl="1">
      <w:lvlJc w:val="left"/>
      <w:lvlText w:val="%2"/>
      <w:numFmt w:val="lowerLetter"/>
      <w:start w:val="1"/>
    </w:lvl>
  </w:abstractNum>
  <w:abstractNum w:abstractNumId="50">
    <w:nsid w:val="275AC794"/>
    <w:multiLevelType w:val="hybridMultilevel"/>
    <w:lvl w:ilvl="0">
      <w:lvlJc w:val="left"/>
      <w:lvlText w:val="%1."/>
      <w:numFmt w:val="decimal"/>
      <w:start w:val="124"/>
    </w:lvl>
  </w:abstractNum>
  <w:abstractNum w:abstractNumId="51">
    <w:nsid w:val="39386575"/>
    <w:multiLevelType w:val="hybridMultilevel"/>
    <w:lvl w:ilvl="0">
      <w:lvlJc w:val="left"/>
      <w:lvlText w:val="%1."/>
      <w:numFmt w:val="decimal"/>
      <w:start w:val="125"/>
    </w:lvl>
  </w:abstractNum>
  <w:abstractNum w:abstractNumId="52">
    <w:nsid w:val="1CF10FD8"/>
    <w:multiLevelType w:val="hybridMultilevel"/>
    <w:lvl w:ilvl="0">
      <w:lvlJc w:val="left"/>
      <w:lvlText w:val="%1."/>
      <w:numFmt w:val="decimal"/>
      <w:start w:val="126"/>
    </w:lvl>
  </w:abstractNum>
  <w:abstractNum w:abstractNumId="53">
    <w:nsid w:val="180115BE"/>
    <w:multiLevelType w:val="hybridMultilevel"/>
    <w:lvl w:ilvl="0">
      <w:lvlJc w:val="left"/>
      <w:lvlText w:val="%1."/>
      <w:numFmt w:val="decimal"/>
      <w:start w:val="127"/>
    </w:lvl>
  </w:abstractNum>
  <w:abstractNum w:abstractNumId="54">
    <w:nsid w:val="235BA861"/>
    <w:multiLevelType w:val="hybridMultilevel"/>
    <w:lvl w:ilvl="0">
      <w:lvlJc w:val="left"/>
      <w:lvlText w:val="%1."/>
      <w:numFmt w:val="decimal"/>
      <w:start w:val="128"/>
    </w:lvl>
  </w:abstractNum>
  <w:abstractNum w:abstractNumId="55">
    <w:nsid w:val="47398C89"/>
    <w:multiLevelType w:val="hybridMultilevel"/>
    <w:lvl w:ilvl="0">
      <w:lvlJc w:val="left"/>
      <w:lvlText w:val="%1."/>
      <w:numFmt w:val="decimal"/>
      <w:start w:val="129"/>
    </w:lvl>
    <w:lvl w:ilvl="1">
      <w:lvlJc w:val="left"/>
      <w:lvlText w:val="(%2)"/>
      <w:numFmt w:val="lowerLetter"/>
      <w:start w:val="1"/>
    </w:lvl>
  </w:abstractNum>
  <w:abstractNum w:abstractNumId="56">
    <w:nsid w:val="354FE9F9"/>
    <w:multiLevelType w:val="hybridMultilevel"/>
    <w:lvl w:ilvl="0">
      <w:lvlJc w:val="left"/>
      <w:lvlText w:val="%1."/>
      <w:numFmt w:val="decimal"/>
      <w:start w:val="130"/>
    </w:lvl>
    <w:lvl w:ilvl="1">
      <w:lvlJc w:val="left"/>
      <w:lvlText w:val="(%2)"/>
      <w:numFmt w:val="lowerLetter"/>
      <w:start w:val="1"/>
    </w:lvl>
  </w:abstractNum>
  <w:abstractNum w:abstractNumId="57">
    <w:nsid w:val="15B5AF5C"/>
    <w:multiLevelType w:val="hybridMultilevel"/>
    <w:lvl w:ilvl="0">
      <w:lvlJc w:val="left"/>
      <w:lvlText w:val="%1."/>
      <w:numFmt w:val="decimal"/>
      <w:start w:val="131"/>
    </w:lvl>
  </w:abstractNum>
  <w:abstractNum w:abstractNumId="58">
    <w:nsid w:val="741226BB"/>
    <w:multiLevelType w:val="hybridMultilevel"/>
    <w:lvl w:ilvl="0">
      <w:lvlJc w:val="left"/>
      <w:lvlText w:val="%1."/>
      <w:numFmt w:val="decimal"/>
      <w:start w:val="133"/>
    </w:lvl>
  </w:abstractNum>
  <w:abstractNum w:abstractNumId="59">
    <w:nsid w:val="D34B6A8"/>
    <w:multiLevelType w:val="hybridMultilevel"/>
    <w:lvl w:ilvl="0">
      <w:lvlJc w:val="left"/>
      <w:lvlText w:val="%1."/>
      <w:numFmt w:val="decimal"/>
      <w:start w:val="134"/>
    </w:lvl>
  </w:abstractNum>
  <w:abstractNum w:abstractNumId="60">
    <w:nsid w:val="10233C99"/>
    <w:multiLevelType w:val="hybridMultilevel"/>
    <w:lvl w:ilvl="0">
      <w:lvlJc w:val="left"/>
      <w:lvlText w:val="%1."/>
      <w:numFmt w:val="decimal"/>
      <w:start w:val="13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15" Type="http://schemas.openxmlformats.org/officeDocument/2006/relationships/hyperlink" Target="http://www.sec.gov/Archives/edgar/data/1679082/000114036122038147/ny20005635x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2023-03-10T08:38:30Z</dcterms:created>
  <dcterms:modified xsi:type="dcterms:W3CDTF">2023-03-10T08:38:30Z</dcterms:modified>
</cp:coreProperties>
</file>