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2005965</wp:posOffset>
            </wp:positionH>
            <wp:positionV relativeFrom="paragraph">
              <wp:posOffset>52705</wp:posOffset>
            </wp:positionV>
            <wp:extent cx="31381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2005965</wp:posOffset>
            </wp:positionH>
            <wp:positionV relativeFrom="paragraph">
              <wp:posOffset>80645</wp:posOffset>
            </wp:positionV>
            <wp:extent cx="31381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 w:lineRule="exact"/>
        <w:rPr>
          <w:sz w:val="24"/>
          <w:szCs w:val="24"/>
          <w:color w:val="auto"/>
        </w:rPr>
      </w:pPr>
    </w:p>
    <w:p>
      <w:pPr>
        <w:ind w:left="240" w:hanging="234"/>
        <w:spacing w:after="0"/>
        <w:tabs>
          <w:tab w:leader="none" w:pos="2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2" w:lineRule="exact"/>
        <w:rPr>
          <w:rFonts w:ascii="MS PGothic" w:cs="MS PGothic" w:eastAsia="MS PGothic" w:hAnsi="MS PGothic"/>
          <w:sz w:val="18"/>
          <w:szCs w:val="18"/>
          <w:color w:val="auto"/>
          <w:highlight w:val="black"/>
        </w:rPr>
      </w:pPr>
    </w:p>
    <w:p>
      <w:pPr>
        <w:ind w:left="39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June 30, 2022</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 w:lineRule="exact"/>
        <w:rPr>
          <w:sz w:val="24"/>
          <w:szCs w:val="24"/>
          <w:color w:val="auto"/>
        </w:rPr>
      </w:pPr>
    </w:p>
    <w:p>
      <w:pPr>
        <w:ind w:left="240" w:hanging="234"/>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9" w:lineRule="exact"/>
        <w:rPr>
          <w:rFonts w:ascii="MS PGothic" w:cs="MS PGothic" w:eastAsia="MS PGothic" w:hAnsi="MS PGothic"/>
          <w:sz w:val="18"/>
          <w:szCs w:val="18"/>
          <w:color w:val="auto"/>
        </w:rPr>
      </w:pPr>
    </w:p>
    <w:p>
      <w:pPr>
        <w:ind w:left="36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36"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001-37929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2005965</wp:posOffset>
            </wp:positionH>
            <wp:positionV relativeFrom="paragraph">
              <wp:posOffset>125730</wp:posOffset>
            </wp:positionV>
            <wp:extent cx="3138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Myovant Sciences Ltd.</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2005965</wp:posOffset>
            </wp:positionH>
            <wp:positionV relativeFrom="paragraph">
              <wp:posOffset>111760</wp:posOffset>
            </wp:positionV>
            <wp:extent cx="3138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9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7"/>
              </w:rPr>
              <w:t>Bermuda</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gridSpan w:val="2"/>
          </w:tcPr>
          <w:p>
            <w:pPr>
              <w:jc w:val="center"/>
              <w:ind w:right="912"/>
              <w:spacing w:after="0"/>
              <w:rPr>
                <w:sz w:val="20"/>
                <w:szCs w:val="20"/>
                <w:color w:val="auto"/>
              </w:rPr>
            </w:pPr>
            <w:r>
              <w:rPr>
                <w:rFonts w:ascii="Times New Roman" w:cs="Times New Roman" w:eastAsia="Times New Roman" w:hAnsi="Times New Roman"/>
                <w:sz w:val="18"/>
                <w:szCs w:val="18"/>
                <w:b w:val="1"/>
                <w:bCs w:val="1"/>
                <w:color w:val="auto"/>
                <w:w w:val="98"/>
              </w:rPr>
              <w:t>98-1343578</w:t>
            </w:r>
          </w:p>
        </w:tc>
      </w:tr>
      <w:tr>
        <w:trPr>
          <w:trHeight w:val="223"/>
        </w:trPr>
        <w:tc>
          <w:tcPr>
            <w:tcW w:w="49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gridSpan w:val="2"/>
          </w:tcPr>
          <w:p>
            <w:pPr>
              <w:jc w:val="center"/>
              <w:ind w:right="93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5"/>
        </w:trPr>
        <w:tc>
          <w:tcPr>
            <w:tcW w:w="49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9"/>
              </w:rPr>
              <w:t>Suite 1, 3rd Floor</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25"/>
        </w:trPr>
        <w:tc>
          <w:tcPr>
            <w:tcW w:w="49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6"/>
              </w:rPr>
              <w:t>11-12 St. James’s Square</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25"/>
        </w:trPr>
        <w:tc>
          <w:tcPr>
            <w:tcW w:w="49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6"/>
              </w:rPr>
              <w:t>London</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25"/>
        </w:trPr>
        <w:tc>
          <w:tcPr>
            <w:tcW w:w="49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8"/>
              </w:rPr>
              <w:t>SW1Y 4LB</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27"/>
        </w:trPr>
        <w:tc>
          <w:tcPr>
            <w:tcW w:w="49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8"/>
              </w:rPr>
              <w:t>United Kingdom</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gridSpan w:val="2"/>
          </w:tcPr>
          <w:p>
            <w:pPr>
              <w:jc w:val="center"/>
              <w:ind w:right="912"/>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31"/>
        </w:trPr>
        <w:tc>
          <w:tcPr>
            <w:tcW w:w="4940" w:type="dxa"/>
            <w:vAlign w:val="bottom"/>
            <w:gridSpan w:val="3"/>
          </w:tcPr>
          <w:p>
            <w:pPr>
              <w:jc w:val="center"/>
              <w:ind w:left="41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100" w:type="dxa"/>
            <w:vAlign w:val="bottom"/>
          </w:tcPr>
          <w:p>
            <w:pPr>
              <w:jc w:val="center"/>
              <w:ind w:right="219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92"/>
        </w:trPr>
        <w:tc>
          <w:tcPr>
            <w:tcW w:w="11200" w:type="dxa"/>
            <w:vAlign w:val="bottom"/>
            <w:gridSpan w:val="7"/>
          </w:tcPr>
          <w:p>
            <w:pPr>
              <w:ind w:left="3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 (207) 400 3351</w:t>
            </w:r>
          </w:p>
        </w:tc>
      </w:tr>
      <w:tr>
        <w:trPr>
          <w:trHeight w:val="171"/>
        </w:trPr>
        <w:tc>
          <w:tcPr>
            <w:tcW w:w="316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spacing w:after="0"/>
              <w:rPr>
                <w:sz w:val="14"/>
                <w:szCs w:val="14"/>
                <w:color w:val="auto"/>
              </w:rPr>
            </w:pPr>
          </w:p>
        </w:tc>
        <w:tc>
          <w:tcPr>
            <w:tcW w:w="1380" w:type="dxa"/>
            <w:vAlign w:val="bottom"/>
            <w:tcBorders>
              <w:bottom w:val="single" w:sz="8" w:color="auto"/>
            </w:tcBorders>
            <w:gridSpan w:val="2"/>
          </w:tcPr>
          <w:p>
            <w:pPr>
              <w:spacing w:after="0"/>
              <w:rPr>
                <w:sz w:val="14"/>
                <w:szCs w:val="14"/>
                <w:color w:val="auto"/>
              </w:rPr>
            </w:pPr>
          </w:p>
        </w:tc>
        <w:tc>
          <w:tcPr>
            <w:tcW w:w="3100" w:type="dxa"/>
            <w:vAlign w:val="bottom"/>
          </w:tcPr>
          <w:p>
            <w:pPr>
              <w:spacing w:after="0"/>
              <w:rPr>
                <w:sz w:val="14"/>
                <w:szCs w:val="14"/>
                <w:color w:val="auto"/>
              </w:rPr>
            </w:pPr>
          </w:p>
        </w:tc>
      </w:tr>
      <w:tr>
        <w:trPr>
          <w:trHeight w:val="280"/>
        </w:trPr>
        <w:tc>
          <w:tcPr>
            <w:tcW w:w="3160" w:type="dxa"/>
            <w:vAlign w:val="bottom"/>
          </w:tcPr>
          <w:p>
            <w:pPr>
              <w:spacing w:after="0"/>
              <w:rPr>
                <w:sz w:val="24"/>
                <w:szCs w:val="24"/>
                <w:color w:val="auto"/>
              </w:rPr>
            </w:pPr>
          </w:p>
        </w:tc>
        <w:tc>
          <w:tcPr>
            <w:tcW w:w="8040" w:type="dxa"/>
            <w:vAlign w:val="bottom"/>
            <w:gridSpan w:val="6"/>
          </w:tcPr>
          <w:p>
            <w:pPr>
              <w:jc w:val="center"/>
              <w:ind w:right="2572"/>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r>
      <w:tr>
        <w:trPr>
          <w:trHeight w:val="350"/>
        </w:trPr>
        <w:tc>
          <w:tcPr>
            <w:tcW w:w="4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Title of each Class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5"/>
        </w:trPr>
        <w:tc>
          <w:tcPr>
            <w:tcW w:w="48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Common Shares, $0.000017727 par value per share</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MYOV</w:t>
            </w:r>
          </w:p>
        </w:tc>
        <w:tc>
          <w:tcPr>
            <w:tcW w:w="100" w:type="dxa"/>
            <w:vAlign w:val="bottom"/>
          </w:tcPr>
          <w:p>
            <w:pPr>
              <w:spacing w:after="0"/>
              <w:rPr>
                <w:sz w:val="19"/>
                <w:szCs w:val="19"/>
                <w:color w:val="auto"/>
              </w:rPr>
            </w:pPr>
          </w:p>
        </w:tc>
        <w:tc>
          <w:tcPr>
            <w:tcW w:w="43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bl>
    <w:p>
      <w:pPr>
        <w:spacing w:after="0" w:line="73" w:lineRule="exact"/>
        <w:rPr>
          <w:sz w:val="24"/>
          <w:szCs w:val="24"/>
          <w:color w:val="auto"/>
        </w:rPr>
      </w:pPr>
    </w:p>
    <w:p>
      <w:pPr>
        <w:spacing w:after="0" w:line="20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Arial" w:cs="Arial" w:eastAsia="Arial" w:hAnsi="Arial"/>
          <w:sz w:val="15"/>
          <w:szCs w:val="15"/>
          <w:color w:val="auto"/>
        </w:rPr>
        <w:t>o</w:t>
      </w:r>
    </w:p>
    <w:p>
      <w:pPr>
        <w:spacing w:after="0" w:line="28" w:lineRule="exact"/>
        <w:rPr>
          <w:sz w:val="24"/>
          <w:szCs w:val="24"/>
          <w:color w:val="auto"/>
        </w:rPr>
      </w:pPr>
    </w:p>
    <w:p>
      <w:pPr>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spacing w:after="0" w:line="15" w:lineRule="exact"/>
        <w:rPr>
          <w:sz w:val="24"/>
          <w:szCs w:val="24"/>
          <w:color w:val="auto"/>
        </w:rPr>
      </w:pPr>
    </w:p>
    <w:p>
      <w:pPr>
        <w:jc w:val="both"/>
        <w:spacing w:after="0" w:line="31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8"/>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1"/>
        </w:trPr>
        <w:tc>
          <w:tcPr>
            <w:tcW w:w="18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9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1"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the Registrant’s common shares, $0.000017727 par value per share, on July 25, 2022 was 95,928,219.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586105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52070</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4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3100FE"/>
              </w:rPr>
              <w:t>PART I. FINANCIAL INFORMATION</w:t>
            </w: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420" w:type="dxa"/>
            <w:vAlign w:val="bottom"/>
            <w:gridSpan w:val="19"/>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80" w:type="dxa"/>
            <w:vAlign w:val="bottom"/>
            <w:tcBorders>
              <w:bottom w:val="single" w:sz="8" w:color="3100FE"/>
            </w:tcBorders>
            <w:gridSpan w:val="8"/>
          </w:tcPr>
          <w:p>
            <w:pPr>
              <w:spacing w:after="0" w:line="191" w:lineRule="exact"/>
              <w:rPr>
                <w:sz w:val="20"/>
                <w:szCs w:val="20"/>
                <w:color w:val="auto"/>
              </w:rPr>
            </w:pPr>
            <w:r>
              <w:rPr>
                <w:rFonts w:ascii="Times New Roman" w:cs="Times New Roman" w:eastAsia="Times New Roman" w:hAnsi="Times New Roman"/>
                <w:sz w:val="18"/>
                <w:szCs w:val="18"/>
                <w:color w:val="3100FE"/>
                <w:w w:val="97"/>
              </w:rPr>
              <w:t>Item 1. Financial Statements:</w:t>
            </w:r>
          </w:p>
        </w:tc>
        <w:tc>
          <w:tcPr>
            <w:tcW w:w="8340" w:type="dxa"/>
            <w:vAlign w:val="bottom"/>
            <w:gridSpan w:val="11"/>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60" w:type="dxa"/>
            <w:vAlign w:val="bottom"/>
            <w:tcBorders>
              <w:bottom w:val="single" w:sz="8" w:color="3100FE"/>
            </w:tcBorders>
            <w:gridSpan w:val="14"/>
          </w:tcPr>
          <w:p>
            <w:pPr>
              <w:spacing w:after="0" w:line="205" w:lineRule="exact"/>
              <w:rPr>
                <w:sz w:val="20"/>
                <w:szCs w:val="20"/>
                <w:color w:val="auto"/>
              </w:rPr>
            </w:pPr>
            <w:r>
              <w:rPr>
                <w:rFonts w:ascii="Times New Roman" w:cs="Times New Roman" w:eastAsia="Times New Roman" w:hAnsi="Times New Roman"/>
                <w:sz w:val="18"/>
                <w:szCs w:val="18"/>
                <w:color w:val="3100FE"/>
                <w:w w:val="97"/>
              </w:rPr>
              <w:t>Condensed Consolidated Balance Sheets as of June 30, 2022 and March 31, 2022 (Unaudited)</w:t>
            </w:r>
          </w:p>
        </w:tc>
        <w:tc>
          <w:tcPr>
            <w:tcW w:w="344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0" w:type="dxa"/>
            <w:vAlign w:val="bottom"/>
            <w:tcBorders>
              <w:bottom w:val="single" w:sz="8" w:color="3100FE"/>
            </w:tcBorders>
            <w:gridSpan w:val="17"/>
          </w:tcPr>
          <w:p>
            <w:pPr>
              <w:spacing w:after="0" w:line="205" w:lineRule="exact"/>
              <w:rPr>
                <w:sz w:val="20"/>
                <w:szCs w:val="20"/>
                <w:color w:val="auto"/>
              </w:rPr>
            </w:pPr>
            <w:r>
              <w:rPr>
                <w:rFonts w:ascii="Times New Roman" w:cs="Times New Roman" w:eastAsia="Times New Roman" w:hAnsi="Times New Roman"/>
                <w:sz w:val="18"/>
                <w:szCs w:val="18"/>
                <w:color w:val="3100FE"/>
                <w:w w:val="97"/>
              </w:rPr>
              <w:t>Condensed Consolidated Statements of Operations and Comprehensive Loss for the Three Months Ended June 30, 2022 and 2021</w:t>
            </w:r>
          </w:p>
        </w:tc>
        <w:tc>
          <w:tcPr>
            <w:tcW w:w="900" w:type="dxa"/>
            <w:vAlign w:val="bottom"/>
          </w:tcPr>
          <w:p>
            <w:pPr>
              <w:spacing w:after="0"/>
              <w:rPr>
                <w:sz w:val="17"/>
                <w:szCs w:val="17"/>
                <w:color w:val="auto"/>
              </w:rPr>
            </w:pPr>
          </w:p>
        </w:tc>
        <w:tc>
          <w:tcPr>
            <w:tcW w:w="480" w:type="dxa"/>
            <w:vAlign w:val="bottom"/>
            <w:gridSpan w:val="2"/>
            <w:vMerge w:val="restart"/>
          </w:tcPr>
          <w:p>
            <w:pPr>
              <w:jc w:val="center"/>
              <w:ind w:left="214"/>
              <w:spacing w:after="0"/>
              <w:rPr>
                <w:sz w:val="20"/>
                <w:szCs w:val="20"/>
                <w:color w:val="auto"/>
              </w:rPr>
            </w:pPr>
            <w:r>
              <w:rPr>
                <w:rFonts w:ascii="Times New Roman" w:cs="Times New Roman" w:eastAsia="Times New Roman" w:hAnsi="Times New Roman"/>
                <w:sz w:val="18"/>
                <w:szCs w:val="18"/>
                <w:color w:val="0000FF"/>
              </w:rPr>
              <w:t>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gridSpan w:val="3"/>
            <w:vMerge w:val="restart"/>
          </w:tcPr>
          <w:p>
            <w:pPr>
              <w:spacing w:after="0" w:line="152" w:lineRule="exact"/>
              <w:rPr>
                <w:sz w:val="20"/>
                <w:szCs w:val="20"/>
                <w:color w:val="auto"/>
              </w:rPr>
            </w:pPr>
            <w:r>
              <w:rPr>
                <w:rFonts w:ascii="Times New Roman" w:cs="Times New Roman" w:eastAsia="Times New Roman" w:hAnsi="Times New Roman"/>
                <w:sz w:val="17"/>
                <w:szCs w:val="17"/>
                <w:color w:val="3100FE"/>
              </w:rPr>
              <w:t>(Unaudited)</w:t>
            </w:r>
          </w:p>
        </w:tc>
        <w:tc>
          <w:tcPr>
            <w:tcW w:w="9240" w:type="dxa"/>
            <w:vAlign w:val="bottom"/>
            <w:gridSpan w:val="15"/>
            <w:vMerge w:val="restart"/>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Borders>
              <w:bottom w:val="single" w:sz="8" w:color="3100FE"/>
            </w:tcBorders>
            <w:gridSpan w:val="3"/>
            <w:vMerge w:val="continue"/>
          </w:tcPr>
          <w:p>
            <w:pPr>
              <w:spacing w:after="0"/>
              <w:rPr>
                <w:sz w:val="5"/>
                <w:szCs w:val="5"/>
                <w:color w:val="auto"/>
              </w:rPr>
            </w:pPr>
          </w:p>
        </w:tc>
        <w:tc>
          <w:tcPr>
            <w:tcW w:w="9240" w:type="dxa"/>
            <w:vAlign w:val="bottom"/>
            <w:gridSpan w:val="15"/>
            <w:vMerge w:val="continue"/>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3100FE"/>
              </w:rPr>
              <w:t>Condensed Consolidated Statements of Shareholders’ Deficit for the Three Months Ended June 30, 2022 and 2021 (Unaudited)</w:t>
            </w:r>
          </w:p>
        </w:tc>
        <w:tc>
          <w:tcPr>
            <w:tcW w:w="480" w:type="dxa"/>
            <w:vAlign w:val="bottom"/>
            <w:gridSpan w:val="2"/>
          </w:tcPr>
          <w:p>
            <w:pPr>
              <w:jc w:val="center"/>
              <w:ind w:left="214"/>
              <w:spacing w:after="0"/>
              <w:rPr>
                <w:sz w:val="20"/>
                <w:szCs w:val="20"/>
                <w:color w:val="auto"/>
              </w:rPr>
            </w:pPr>
            <w:r>
              <w:rPr>
                <w:rFonts w:ascii="Times New Roman" w:cs="Times New Roman" w:eastAsia="Times New Roman" w:hAnsi="Times New Roman"/>
                <w:sz w:val="18"/>
                <w:szCs w:val="18"/>
                <w:color w:val="0000FF"/>
              </w:rPr>
              <w:t>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tcBorders>
              <w:top w:val="single" w:sz="8" w:color="3100FE"/>
              <w:bottom w:val="single" w:sz="8" w:color="3100FE"/>
            </w:tcBorders>
            <w:gridSpan w:val="15"/>
          </w:tcPr>
          <w:p>
            <w:pPr>
              <w:spacing w:after="0" w:line="205" w:lineRule="exact"/>
              <w:rPr>
                <w:sz w:val="20"/>
                <w:szCs w:val="20"/>
                <w:color w:val="auto"/>
              </w:rPr>
            </w:pPr>
            <w:r>
              <w:rPr>
                <w:rFonts w:ascii="Times New Roman" w:cs="Times New Roman" w:eastAsia="Times New Roman" w:hAnsi="Times New Roman"/>
                <w:sz w:val="18"/>
                <w:szCs w:val="18"/>
                <w:color w:val="3100FE"/>
                <w:w w:val="97"/>
              </w:rPr>
              <w:t>Condensed Consolidated Statements of Cash Flows for the Three Months Ended June 30, 2022 and 2021 (Unaudited)</w:t>
            </w:r>
          </w:p>
        </w:tc>
        <w:tc>
          <w:tcPr>
            <w:tcW w:w="680" w:type="dxa"/>
            <w:vAlign w:val="bottom"/>
            <w:tcBorders>
              <w:top w:val="single" w:sz="8" w:color="3100FE"/>
            </w:tcBorders>
          </w:tcPr>
          <w:p>
            <w:pPr>
              <w:spacing w:after="0"/>
              <w:rPr>
                <w:sz w:val="17"/>
                <w:szCs w:val="17"/>
                <w:color w:val="auto"/>
              </w:rPr>
            </w:pPr>
          </w:p>
        </w:tc>
        <w:tc>
          <w:tcPr>
            <w:tcW w:w="11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20" w:type="dxa"/>
            <w:vAlign w:val="bottom"/>
            <w:tcBorders>
              <w:bottom w:val="single" w:sz="8" w:color="3100FE"/>
            </w:tcBorders>
            <w:gridSpan w:val="12"/>
          </w:tcPr>
          <w:p>
            <w:pPr>
              <w:spacing w:after="0" w:line="205" w:lineRule="exact"/>
              <w:rPr>
                <w:sz w:val="20"/>
                <w:szCs w:val="20"/>
                <w:color w:val="auto"/>
              </w:rPr>
            </w:pPr>
            <w:r>
              <w:rPr>
                <w:rFonts w:ascii="Times New Roman" w:cs="Times New Roman" w:eastAsia="Times New Roman" w:hAnsi="Times New Roman"/>
                <w:sz w:val="18"/>
                <w:szCs w:val="18"/>
                <w:color w:val="3100FE"/>
                <w:w w:val="97"/>
              </w:rPr>
              <w:t>Notes to Condensed Consolidated Financial Statements (Unaudited)</w:t>
            </w:r>
          </w:p>
        </w:tc>
        <w:tc>
          <w:tcPr>
            <w:tcW w:w="528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3100FE"/>
              </w:rPr>
              <w:t>Item 2. Management’s Discussion and Analysis of Financial Condition and Results of Operations</w:t>
            </w:r>
          </w:p>
        </w:tc>
        <w:tc>
          <w:tcPr>
            <w:tcW w:w="480" w:type="dxa"/>
            <w:vAlign w:val="bottom"/>
            <w:gridSpan w:val="2"/>
          </w:tcPr>
          <w:p>
            <w:pPr>
              <w:jc w:val="center"/>
              <w:ind w:left="214"/>
              <w:spacing w:after="0" w:line="205" w:lineRule="exact"/>
              <w:rPr>
                <w:sz w:val="20"/>
                <w:szCs w:val="20"/>
                <w:color w:val="auto"/>
              </w:rPr>
            </w:pPr>
            <w:r>
              <w:rPr>
                <w:rFonts w:ascii="Times New Roman" w:cs="Times New Roman" w:eastAsia="Times New Roman" w:hAnsi="Times New Roman"/>
                <w:sz w:val="18"/>
                <w:szCs w:val="18"/>
                <w:color w:val="0000FF"/>
                <w:w w:val="99"/>
              </w:rPr>
              <w:t>24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40" w:type="dxa"/>
            <w:vAlign w:val="bottom"/>
            <w:tcBorders>
              <w:top w:val="single" w:sz="8" w:color="3100FE"/>
              <w:bottom w:val="single" w:sz="8" w:color="3100FE"/>
            </w:tcBorders>
            <w:gridSpan w:val="12"/>
          </w:tcPr>
          <w:p>
            <w:pPr>
              <w:spacing w:after="0" w:line="205" w:lineRule="exact"/>
              <w:rPr>
                <w:sz w:val="20"/>
                <w:szCs w:val="20"/>
                <w:color w:val="auto"/>
              </w:rPr>
            </w:pPr>
            <w:r>
              <w:rPr>
                <w:rFonts w:ascii="Times New Roman" w:cs="Times New Roman" w:eastAsia="Times New Roman" w:hAnsi="Times New Roman"/>
                <w:sz w:val="18"/>
                <w:szCs w:val="18"/>
                <w:color w:val="3100FE"/>
                <w:w w:val="98"/>
              </w:rPr>
              <w:t>Item 3. Quantitative and Qualitative Disclosures About Market Risk</w:t>
            </w:r>
          </w:p>
        </w:tc>
        <w:tc>
          <w:tcPr>
            <w:tcW w:w="2040" w:type="dxa"/>
            <w:vAlign w:val="bottom"/>
            <w:tcBorders>
              <w:top w:val="single" w:sz="8" w:color="3100FE"/>
            </w:tcBorders>
            <w:gridSpan w:val="2"/>
          </w:tcPr>
          <w:p>
            <w:pPr>
              <w:spacing w:after="0"/>
              <w:rPr>
                <w:sz w:val="17"/>
                <w:szCs w:val="17"/>
                <w:color w:val="auto"/>
              </w:rPr>
            </w:pPr>
          </w:p>
        </w:tc>
        <w:tc>
          <w:tcPr>
            <w:tcW w:w="354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3100FE"/>
              </w:rPr>
              <w:t>Item 4. Controls and Procedures</w:t>
            </w:r>
          </w:p>
        </w:tc>
        <w:tc>
          <w:tcPr>
            <w:tcW w:w="480" w:type="dxa"/>
            <w:vAlign w:val="bottom"/>
            <w:gridSpan w:val="2"/>
          </w:tcPr>
          <w:p>
            <w:pPr>
              <w:jc w:val="center"/>
              <w:ind w:left="214"/>
              <w:spacing w:after="0" w:line="205" w:lineRule="exact"/>
              <w:rPr>
                <w:sz w:val="20"/>
                <w:szCs w:val="20"/>
                <w:color w:val="auto"/>
              </w:rPr>
            </w:pPr>
            <w:r>
              <w:rPr>
                <w:rFonts w:ascii="Times New Roman" w:cs="Times New Roman" w:eastAsia="Times New Roman" w:hAnsi="Times New Roman"/>
                <w:sz w:val="18"/>
                <w:szCs w:val="18"/>
                <w:color w:val="0000FF"/>
                <w:w w:val="99"/>
              </w:rPr>
              <w:t>39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3100FE"/>
          </w:tcPr>
          <w:p>
            <w:pPr>
              <w:spacing w:after="0" w:line="20" w:lineRule="exact"/>
              <w:rPr>
                <w:sz w:val="1"/>
                <w:szCs w:val="1"/>
                <w:color w:val="auto"/>
              </w:rPr>
            </w:pPr>
          </w:p>
        </w:tc>
        <w:tc>
          <w:tcPr>
            <w:tcW w:w="400" w:type="dxa"/>
            <w:vAlign w:val="bottom"/>
            <w:shd w:val="clear" w:color="auto" w:fill="3100FE"/>
          </w:tcPr>
          <w:p>
            <w:pPr>
              <w:spacing w:after="0" w:line="20" w:lineRule="exact"/>
              <w:rPr>
                <w:sz w:val="1"/>
                <w:szCs w:val="1"/>
                <w:color w:val="auto"/>
              </w:rPr>
            </w:pPr>
          </w:p>
        </w:tc>
        <w:tc>
          <w:tcPr>
            <w:tcW w:w="420" w:type="dxa"/>
            <w:vAlign w:val="bottom"/>
            <w:gridSpan w:val="2"/>
            <w:shd w:val="clear" w:color="auto" w:fill="3100FE"/>
          </w:tcPr>
          <w:p>
            <w:pPr>
              <w:spacing w:after="0" w:line="20" w:lineRule="exact"/>
              <w:rPr>
                <w:sz w:val="1"/>
                <w:szCs w:val="1"/>
                <w:color w:val="auto"/>
              </w:rPr>
            </w:pPr>
          </w:p>
        </w:tc>
        <w:tc>
          <w:tcPr>
            <w:tcW w:w="280" w:type="dxa"/>
            <w:vAlign w:val="bottom"/>
            <w:shd w:val="clear" w:color="auto" w:fill="3100FE"/>
          </w:tcPr>
          <w:p>
            <w:pPr>
              <w:spacing w:after="0" w:line="20" w:lineRule="exact"/>
              <w:rPr>
                <w:sz w:val="1"/>
                <w:szCs w:val="1"/>
                <w:color w:val="auto"/>
              </w:rPr>
            </w:pPr>
          </w:p>
        </w:tc>
        <w:tc>
          <w:tcPr>
            <w:tcW w:w="20" w:type="dxa"/>
            <w:vAlign w:val="bottom"/>
            <w:shd w:val="clear" w:color="auto" w:fill="3100FE"/>
          </w:tcPr>
          <w:p>
            <w:pPr>
              <w:spacing w:after="0" w:line="20" w:lineRule="exact"/>
              <w:rPr>
                <w:sz w:val="1"/>
                <w:szCs w:val="1"/>
                <w:color w:val="auto"/>
              </w:rPr>
            </w:pPr>
          </w:p>
        </w:tc>
        <w:tc>
          <w:tcPr>
            <w:tcW w:w="420" w:type="dxa"/>
            <w:vAlign w:val="bottom"/>
            <w:gridSpan w:val="2"/>
            <w:shd w:val="clear" w:color="auto" w:fill="3100F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3100FE"/>
              </w:rPr>
              <w:t>PART II. OTHER INFORMATION</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60" w:type="dxa"/>
            <w:vAlign w:val="bottom"/>
            <w:tcBorders>
              <w:bottom w:val="single" w:sz="8" w:color="3100FE"/>
            </w:tcBorders>
            <w:gridSpan w:val="7"/>
          </w:tcPr>
          <w:p>
            <w:pPr>
              <w:spacing w:after="0" w:line="191" w:lineRule="exact"/>
              <w:rPr>
                <w:sz w:val="20"/>
                <w:szCs w:val="20"/>
                <w:color w:val="auto"/>
              </w:rPr>
            </w:pPr>
            <w:r>
              <w:rPr>
                <w:rFonts w:ascii="Times New Roman" w:cs="Times New Roman" w:eastAsia="Times New Roman" w:hAnsi="Times New Roman"/>
                <w:sz w:val="18"/>
                <w:szCs w:val="18"/>
                <w:color w:val="3100FE"/>
                <w:w w:val="97"/>
              </w:rPr>
              <w:t>Item 1. Legal Proceedings</w:t>
            </w:r>
          </w:p>
        </w:tc>
        <w:tc>
          <w:tcPr>
            <w:tcW w:w="8560" w:type="dxa"/>
            <w:vAlign w:val="bottom"/>
            <w:gridSpan w:val="12"/>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91" w:lineRule="exact"/>
              <w:rPr>
                <w:sz w:val="20"/>
                <w:szCs w:val="20"/>
                <w:color w:val="auto"/>
              </w:rPr>
            </w:pPr>
            <w:r>
              <w:rPr>
                <w:rFonts w:ascii="Times New Roman" w:cs="Times New Roman" w:eastAsia="Times New Roman" w:hAnsi="Times New Roman"/>
                <w:sz w:val="18"/>
                <w:szCs w:val="18"/>
                <w:color w:val="0000FF"/>
                <w:w w:val="77"/>
              </w:rPr>
              <w:t>40</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3100FE"/>
              </w:rPr>
              <w:t>Item 1A. Risk Factors</w:t>
            </w:r>
          </w:p>
        </w:tc>
        <w:tc>
          <w:tcPr>
            <w:tcW w:w="480" w:type="dxa"/>
            <w:vAlign w:val="bottom"/>
            <w:gridSpan w:val="2"/>
          </w:tcPr>
          <w:p>
            <w:pPr>
              <w:jc w:val="center"/>
              <w:ind w:left="214"/>
              <w:spacing w:after="0" w:line="205" w:lineRule="exact"/>
              <w:rPr>
                <w:sz w:val="20"/>
                <w:szCs w:val="20"/>
                <w:color w:val="auto"/>
              </w:rPr>
            </w:pPr>
            <w:r>
              <w:rPr>
                <w:rFonts w:ascii="Times New Roman" w:cs="Times New Roman" w:eastAsia="Times New Roman" w:hAnsi="Times New Roman"/>
                <w:sz w:val="18"/>
                <w:szCs w:val="18"/>
                <w:color w:val="0000FF"/>
                <w:w w:val="99"/>
              </w:rPr>
              <w:t>40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3100FE"/>
          </w:tcPr>
          <w:p>
            <w:pPr>
              <w:spacing w:after="0" w:line="20" w:lineRule="exact"/>
              <w:rPr>
                <w:sz w:val="1"/>
                <w:szCs w:val="1"/>
                <w:color w:val="auto"/>
              </w:rPr>
            </w:pPr>
          </w:p>
        </w:tc>
        <w:tc>
          <w:tcPr>
            <w:tcW w:w="400" w:type="dxa"/>
            <w:vAlign w:val="bottom"/>
            <w:shd w:val="clear" w:color="auto" w:fill="3100FE"/>
          </w:tcPr>
          <w:p>
            <w:pPr>
              <w:spacing w:after="0" w:line="20" w:lineRule="exact"/>
              <w:rPr>
                <w:sz w:val="1"/>
                <w:szCs w:val="1"/>
                <w:color w:val="auto"/>
              </w:rPr>
            </w:pPr>
          </w:p>
        </w:tc>
        <w:tc>
          <w:tcPr>
            <w:tcW w:w="420" w:type="dxa"/>
            <w:vAlign w:val="bottom"/>
            <w:gridSpan w:val="2"/>
            <w:shd w:val="clear" w:color="auto" w:fill="3100F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20" w:type="dxa"/>
            <w:vAlign w:val="bottom"/>
            <w:tcBorders>
              <w:bottom w:val="single" w:sz="8" w:color="3100FE"/>
            </w:tcBorders>
            <w:gridSpan w:val="11"/>
          </w:tcPr>
          <w:p>
            <w:pPr>
              <w:spacing w:after="0" w:line="205" w:lineRule="exact"/>
              <w:rPr>
                <w:sz w:val="20"/>
                <w:szCs w:val="20"/>
                <w:color w:val="auto"/>
              </w:rPr>
            </w:pPr>
            <w:r>
              <w:rPr>
                <w:rFonts w:ascii="Times New Roman" w:cs="Times New Roman" w:eastAsia="Times New Roman" w:hAnsi="Times New Roman"/>
                <w:sz w:val="18"/>
                <w:szCs w:val="18"/>
                <w:color w:val="3100FE"/>
                <w:w w:val="97"/>
              </w:rPr>
              <w:t>Item 2. Unregistered Sales of Equity Securities and Use of Proceeds</w:t>
            </w:r>
          </w:p>
        </w:tc>
        <w:tc>
          <w:tcPr>
            <w:tcW w:w="560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80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3100FE"/>
              </w:rPr>
              <w:t>Item 3. Defaults Upon Senior Securities</w:t>
            </w:r>
          </w:p>
        </w:tc>
        <w:tc>
          <w:tcPr>
            <w:tcW w:w="480" w:type="dxa"/>
            <w:vAlign w:val="bottom"/>
            <w:gridSpan w:val="2"/>
          </w:tcPr>
          <w:p>
            <w:pPr>
              <w:jc w:val="center"/>
              <w:ind w:left="214"/>
              <w:spacing w:after="0" w:line="205" w:lineRule="exact"/>
              <w:rPr>
                <w:sz w:val="20"/>
                <w:szCs w:val="20"/>
                <w:color w:val="auto"/>
              </w:rPr>
            </w:pPr>
            <w:r>
              <w:rPr>
                <w:rFonts w:ascii="Times New Roman" w:cs="Times New Roman" w:eastAsia="Times New Roman" w:hAnsi="Times New Roman"/>
                <w:sz w:val="18"/>
                <w:szCs w:val="18"/>
                <w:color w:val="0000FF"/>
                <w:w w:val="99"/>
              </w:rPr>
              <w:t>80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Borders>
              <w:top w:val="single" w:sz="8" w:color="3100FE"/>
            </w:tcBorders>
            <w:gridSpan w:val="10"/>
          </w:tcPr>
          <w:p>
            <w:pPr>
              <w:spacing w:after="0" w:line="205" w:lineRule="exact"/>
              <w:rPr>
                <w:sz w:val="20"/>
                <w:szCs w:val="20"/>
                <w:color w:val="auto"/>
              </w:rPr>
            </w:pPr>
            <w:r>
              <w:rPr>
                <w:rFonts w:ascii="Times New Roman" w:cs="Times New Roman" w:eastAsia="Times New Roman" w:hAnsi="Times New Roman"/>
                <w:sz w:val="18"/>
                <w:szCs w:val="18"/>
                <w:color w:val="3100FE"/>
              </w:rPr>
              <w:t>Item 4. Mine Safety Disclosures</w:t>
            </w:r>
          </w:p>
        </w:tc>
        <w:tc>
          <w:tcPr>
            <w:tcW w:w="760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80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40" w:type="dxa"/>
            <w:vAlign w:val="bottom"/>
            <w:tcBorders>
              <w:top w:val="single" w:sz="8" w:color="3100FE"/>
              <w:bottom w:val="single" w:sz="8" w:color="3100FE"/>
            </w:tcBorders>
            <w:gridSpan w:val="6"/>
          </w:tcPr>
          <w:p>
            <w:pPr>
              <w:spacing w:after="0" w:line="205" w:lineRule="exact"/>
              <w:rPr>
                <w:sz w:val="20"/>
                <w:szCs w:val="20"/>
                <w:color w:val="auto"/>
              </w:rPr>
            </w:pPr>
            <w:r>
              <w:rPr>
                <w:rFonts w:ascii="Times New Roman" w:cs="Times New Roman" w:eastAsia="Times New Roman" w:hAnsi="Times New Roman"/>
                <w:sz w:val="18"/>
                <w:szCs w:val="18"/>
                <w:color w:val="3100FE"/>
                <w:w w:val="97"/>
              </w:rPr>
              <w:t>Item 5. Other Information</w:t>
            </w:r>
          </w:p>
        </w:tc>
        <w:tc>
          <w:tcPr>
            <w:tcW w:w="440" w:type="dxa"/>
            <w:vAlign w:val="bottom"/>
            <w:tcBorders>
              <w:top w:val="single" w:sz="8" w:color="3100FE"/>
            </w:tcBorders>
            <w:gridSpan w:val="3"/>
          </w:tcPr>
          <w:p>
            <w:pPr>
              <w:spacing w:after="0"/>
              <w:rPr>
                <w:sz w:val="17"/>
                <w:szCs w:val="17"/>
                <w:color w:val="auto"/>
              </w:rPr>
            </w:pPr>
          </w:p>
        </w:tc>
        <w:tc>
          <w:tcPr>
            <w:tcW w:w="8140" w:type="dxa"/>
            <w:vAlign w:val="bottom"/>
            <w:gridSpan w:val="10"/>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80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40" w:type="dxa"/>
            <w:vAlign w:val="bottom"/>
            <w:tcBorders>
              <w:bottom w:val="single" w:sz="8" w:color="3100FE"/>
            </w:tcBorders>
            <w:gridSpan w:val="3"/>
          </w:tcPr>
          <w:p>
            <w:pPr>
              <w:spacing w:after="0" w:line="205" w:lineRule="exact"/>
              <w:rPr>
                <w:sz w:val="20"/>
                <w:szCs w:val="20"/>
                <w:color w:val="auto"/>
              </w:rPr>
            </w:pPr>
            <w:r>
              <w:rPr>
                <w:rFonts w:ascii="Times New Roman" w:cs="Times New Roman" w:eastAsia="Times New Roman" w:hAnsi="Times New Roman"/>
                <w:sz w:val="18"/>
                <w:szCs w:val="18"/>
                <w:color w:val="3100FE"/>
                <w:w w:val="96"/>
              </w:rPr>
              <w:t>Item 6. Exhibits</w:t>
            </w:r>
          </w:p>
        </w:tc>
        <w:tc>
          <w:tcPr>
            <w:tcW w:w="9280" w:type="dxa"/>
            <w:vAlign w:val="bottom"/>
            <w:gridSpan w:val="16"/>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bottom w:val="single" w:sz="8" w:color="3100FE"/>
            </w:tcBorders>
          </w:tcPr>
          <w:p>
            <w:pPr>
              <w:jc w:val="center"/>
              <w:spacing w:after="0" w:line="205" w:lineRule="exact"/>
              <w:rPr>
                <w:sz w:val="20"/>
                <w:szCs w:val="20"/>
                <w:color w:val="auto"/>
              </w:rPr>
            </w:pPr>
            <w:r>
              <w:rPr>
                <w:rFonts w:ascii="Times New Roman" w:cs="Times New Roman" w:eastAsia="Times New Roman" w:hAnsi="Times New Roman"/>
                <w:sz w:val="18"/>
                <w:szCs w:val="18"/>
                <w:color w:val="3100FE"/>
                <w:w w:val="77"/>
              </w:rPr>
              <w:t>80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3100FE"/>
              </w:rPr>
              <w:t>Signatures</w:t>
            </w:r>
          </w:p>
        </w:tc>
        <w:tc>
          <w:tcPr>
            <w:tcW w:w="480" w:type="dxa"/>
            <w:vAlign w:val="bottom"/>
            <w:gridSpan w:val="2"/>
          </w:tcPr>
          <w:p>
            <w:pPr>
              <w:jc w:val="center"/>
              <w:ind w:left="214"/>
              <w:spacing w:after="0"/>
              <w:rPr>
                <w:sz w:val="20"/>
                <w:szCs w:val="20"/>
                <w:color w:val="auto"/>
              </w:rPr>
            </w:pPr>
            <w:r>
              <w:rPr>
                <w:rFonts w:ascii="Times New Roman" w:cs="Times New Roman" w:eastAsia="Times New Roman" w:hAnsi="Times New Roman"/>
                <w:sz w:val="18"/>
                <w:szCs w:val="18"/>
                <w:color w:val="0000FF"/>
                <w:w w:val="99"/>
              </w:rPr>
              <w:t>82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9"/>
        </w:trPr>
        <w:tc>
          <w:tcPr>
            <w:tcW w:w="20" w:type="dxa"/>
            <w:vAlign w:val="bottom"/>
          </w:tcPr>
          <w:p>
            <w:pPr>
              <w:spacing w:after="0"/>
              <w:rPr>
                <w:sz w:val="24"/>
                <w:szCs w:val="24"/>
                <w:color w:val="auto"/>
              </w:rPr>
            </w:pPr>
          </w:p>
        </w:tc>
        <w:tc>
          <w:tcPr>
            <w:tcW w:w="740" w:type="dxa"/>
            <w:vAlign w:val="bottom"/>
            <w:tcBorders>
              <w:top w:val="single" w:sz="8" w:color="3100FE"/>
            </w:tcBorders>
            <w:gridSpan w:val="2"/>
          </w:tcPr>
          <w:p>
            <w:pPr>
              <w:spacing w:after="0"/>
              <w:rPr>
                <w:sz w:val="24"/>
                <w:szCs w:val="24"/>
                <w:color w:val="auto"/>
              </w:rPr>
            </w:pPr>
          </w:p>
        </w:tc>
        <w:tc>
          <w:tcPr>
            <w:tcW w:w="6140" w:type="dxa"/>
            <w:vAlign w:val="bottom"/>
            <w:gridSpan w:val="12"/>
          </w:tcPr>
          <w:p>
            <w:pPr>
              <w:jc w:val="right"/>
              <w:ind w:right="12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In this Quarterly Report on Form 10-Q (“Quarterly Report”), references to “Myovant,” “the Company,” “we,” “us” and “our” refer to Myovant Sciences Ltd. and its wholly-owned subsidiaries on a consolidated basis, unless the context otherwise provides.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All brand names or trademarks appearing in this Quarterly Report are the property of their respective owners. This Quarterly Report may contain references to our proprietary intellectual property, including among others, trademarks for our products, ORGOVYX</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7"/>
          <w:szCs w:val="17"/>
          <w:i w:val="1"/>
          <w:iCs w:val="1"/>
          <w:color w:val="auto"/>
        </w:rPr>
        <w:t xml:space="preserve"> and MYFEMBREE</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7"/>
          <w:szCs w:val="17"/>
          <w:i w:val="1"/>
          <w:iCs w:val="1"/>
          <w:color w:val="auto"/>
        </w:rPr>
        <w:t>. These trademarks and trade names are the property of Myovant or the property of our wholly-owned subsidiaries and are protected under applicable intellectual property laws. Solely for convenience, our trademarks and trade names referred to in this Quarterly Report may appear without the ® or other symbols, but such references are not intended to indicate in any way that the Company will not assert, to the fullest extent under applicable law, its rights to these trademarks and trade names.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Below is a summary of the material factors that make an investment in our common shares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heading “Risk Factors” in Item 1A of Part II of this Quarterly Report. The below summary is qualified in its entirety by that more complete discussion of such risks and uncertainties. You should consider carefully the risks and uncertainties described under “Risk Factors” in Item 1A of Part II of this Quarterly Report as part of your evaluation of an investment in our common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Commercialization of Our Drug Products</w:t>
      </w:r>
    </w:p>
    <w:p>
      <w:pPr>
        <w:spacing w:after="0" w:line="168" w:lineRule="exact"/>
        <w:rPr>
          <w:sz w:val="20"/>
          <w:szCs w:val="20"/>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successful commercialization of our drug products. To the extent our drug products are not commercially successful, our business, financial condition and results of operations will be materially harmed.</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products may fail to achieve the degree of market acceptance by physicians, patients, third-party payers or others in the medical community necessary for commercial success, which would negatively impact our business.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 our collaboration or commercialization partners are unable to effectively market and sell our drug products, the commercialization of our drug products will not be successful and our business will be harmed.</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obtain coverage and reimbursement for ORGOVYX and MYFEMBREE in the United States, or the availability of coverage only at limited levels, would diminish our ability to generate net product revenue.</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the commercialization of our approved drug products and our operating results will suffer if we fail to compete effectively.</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collaboration or commercialization partners are found to have improperly promoted unapproved uses of our drug products, we may be subject to restrictions on the sale or marketing of our drug products and significant fines, penalties, sanctions and product liability claims, and our image and reputation within the industry and marketplace could be harmed.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Capital Requirements</w:t>
      </w:r>
    </w:p>
    <w:p>
      <w:pPr>
        <w:spacing w:after="0" w:line="208" w:lineRule="exact"/>
        <w:rPr>
          <w:sz w:val="20"/>
          <w:szCs w:val="20"/>
          <w:color w:val="auto"/>
        </w:rPr>
      </w:pPr>
    </w:p>
    <w:p>
      <w:pPr>
        <w:jc w:val="both"/>
        <w:ind w:left="640" w:hanging="316"/>
        <w:spacing w:after="0" w:line="239" w:lineRule="auto"/>
        <w:tabs>
          <w:tab w:leader="none" w:pos="63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If we do not have adequate funds to cover our development and commercialization activities, we may have to raise additional capital or curtail or cease operations. We may not be able to obtain funding through public or private offerings of our capital shares, debt financings, collaboration or licensing arrangements, or other sources.</w:t>
      </w:r>
    </w:p>
    <w:p>
      <w:pPr>
        <w:spacing w:after="0" w:line="142" w:lineRule="exact"/>
        <w:rPr>
          <w:rFonts w:ascii="Arial" w:cs="Arial" w:eastAsia="Arial" w:hAnsi="Arial"/>
          <w:sz w:val="21"/>
          <w:szCs w:val="21"/>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never achieve or maintain profitability.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w:t>
      </w:r>
    </w:p>
    <w:p>
      <w:pPr>
        <w:spacing w:after="0" w:line="198" w:lineRule="exact"/>
        <w:rPr>
          <w:sz w:val="20"/>
          <w:szCs w:val="20"/>
          <w:color w:val="auto"/>
        </w:rPr>
      </w:pPr>
    </w:p>
    <w:p>
      <w:pPr>
        <w:ind w:left="640" w:hanging="316"/>
        <w:spacing w:after="0"/>
        <w:tabs>
          <w:tab w:leader="none" w:pos="64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8"/>
          <w:szCs w:val="18"/>
          <w:color w:val="auto"/>
        </w:rPr>
        <w:t>The terms of the Sumitomo Pharma Loan Agreement place restrictions on our operating and financial flexibility.</w:t>
      </w:r>
    </w:p>
    <w:p>
      <w:pPr>
        <w:spacing w:after="0" w:line="179" w:lineRule="exact"/>
        <w:rPr>
          <w:rFonts w:ascii="Arial" w:cs="Arial" w:eastAsia="Arial" w:hAnsi="Arial"/>
          <w:sz w:val="21"/>
          <w:szCs w:val="21"/>
          <w:color w:val="auto"/>
        </w:rPr>
      </w:pPr>
    </w:p>
    <w:p>
      <w:pPr>
        <w:jc w:val="both"/>
        <w:ind w:left="640" w:hanging="316"/>
        <w:spacing w:after="0" w:line="247" w:lineRule="auto"/>
        <w:tabs>
          <w:tab w:leader="none" w:pos="63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8"/>
          <w:szCs w:val="18"/>
          <w:color w:val="auto"/>
        </w:rPr>
        <w:t>We do not have our own manufacturing capabilities and rely on third parties to produce clinical and commercial supplies of drug substance and drug product. If these third parties do not perform as we expect, do not maintain their regulatory approvals, or become subject to other negative circumstances, it may result in a delay in our ability to develop and commercialize our products.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Clinical Development and Regulatory Approval</w:t>
      </w:r>
    </w:p>
    <w:p>
      <w:pPr>
        <w:spacing w:after="0" w:line="208" w:lineRule="exact"/>
        <w:rPr>
          <w:sz w:val="20"/>
          <w:szCs w:val="20"/>
          <w:color w:val="auto"/>
        </w:rPr>
      </w:pPr>
    </w:p>
    <w:p>
      <w:pPr>
        <w:jc w:val="both"/>
        <w:ind w:left="640" w:hanging="316"/>
        <w:spacing w:after="0" w:line="239"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Clinical studies are very expensive, time consuming, difficult to design and implement, and involve uncertain outcomes. Clinical study failures can occur at any stage of clinical studies, and we could encounter problems that cause us to suspend, abandon or repeat clinical studies. We cannot predict with any certainty the timing for commencement or completion of current or future clinical studies.</w:t>
      </w:r>
    </w:p>
    <w:p>
      <w:pPr>
        <w:spacing w:after="0" w:line="182"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The results of our clinical studies may not support our proposed claims for our product candidates. The results of previous clinical studies may not be predictive of future results, and interim or top-line data may be subject to change or qualification based on the complete analysis of data.</w:t>
      </w:r>
    </w:p>
    <w:p>
      <w:pPr>
        <w:spacing w:after="0" w:line="179" w:lineRule="exact"/>
        <w:rPr>
          <w:rFonts w:ascii="Arial" w:cs="Arial" w:eastAsia="Arial" w:hAnsi="Arial"/>
          <w:sz w:val="21"/>
          <w:szCs w:val="21"/>
          <w:color w:val="auto"/>
        </w:rPr>
      </w:pPr>
    </w:p>
    <w:p>
      <w:pPr>
        <w:jc w:val="both"/>
        <w:ind w:left="640" w:hanging="316"/>
        <w:spacing w:after="0" w:line="247"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The regulatory approval processes of the FDA and comparable foreign authorities are lengthy, time-consuming, and inherently unpredictable. If we are not able to obtain required regulatory approvals for our product candidates, our ability to generate net product revenue will be materially impaired.</w:t>
      </w:r>
    </w:p>
    <w:p>
      <w:pPr>
        <w:spacing w:after="0" w:line="173"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Adverse events associated with our product candidates could cause us, regulatory authorities, other reviewing entities or clinical study sites to interrupt, delay, request modification of, or halt clinical studies and could result in the denial of regulatory approval.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Dependence on Third Parties</w:t>
      </w:r>
    </w:p>
    <w:p>
      <w:pPr>
        <w:spacing w:after="0" w:line="168" w:lineRule="exact"/>
        <w:rPr>
          <w:sz w:val="20"/>
          <w:szCs w:val="20"/>
          <w:color w:val="auto"/>
        </w:rPr>
      </w:pPr>
    </w:p>
    <w:p>
      <w:pPr>
        <w:jc w:val="both"/>
        <w:ind w:left="640" w:hanging="316"/>
        <w:spacing w:after="0" w:line="252" w:lineRule="auto"/>
        <w:tabs>
          <w:tab w:leader="none" w:pos="63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172" w:lineRule="exact"/>
        <w:rPr>
          <w:rFonts w:ascii="Times New Roman" w:cs="Times New Roman" w:eastAsia="Times New Roman" w:hAnsi="Times New Roman"/>
          <w:sz w:val="18"/>
          <w:szCs w:val="18"/>
          <w:b w:val="1"/>
          <w:bCs w:val="1"/>
          <w:i w:val="1"/>
          <w:iCs w:val="1"/>
          <w:color w:val="auto"/>
        </w:rPr>
      </w:pPr>
    </w:p>
    <w:p>
      <w:pPr>
        <w:ind w:left="640" w:hanging="316"/>
        <w:spacing w:after="0" w:line="237"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We are reliant on third parties to conduct, manage, and monitor our clinical studies, and if those third parties perform in an unsatisfactory manner, it may harm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208" w:lineRule="exact"/>
        <w:rPr>
          <w:sz w:val="20"/>
          <w:szCs w:val="20"/>
          <w:color w:val="auto"/>
        </w:rPr>
      </w:pPr>
    </w:p>
    <w:p>
      <w:pPr>
        <w:ind w:left="640" w:hanging="316"/>
        <w:spacing w:after="0" w:line="237"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79"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Being a Controlled Company</w:t>
      </w:r>
    </w:p>
    <w:p>
      <w:pPr>
        <w:spacing w:after="0" w:line="208" w:lineRule="exact"/>
        <w:rPr>
          <w:sz w:val="20"/>
          <w:szCs w:val="20"/>
          <w:color w:val="auto"/>
        </w:rPr>
      </w:pPr>
    </w:p>
    <w:p>
      <w:pPr>
        <w:jc w:val="both"/>
        <w:ind w:left="640" w:hanging="316"/>
        <w:spacing w:after="0" w:line="247" w:lineRule="auto"/>
        <w:tabs>
          <w:tab w:leader="none" w:pos="63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8"/>
          <w:szCs w:val="18"/>
          <w:color w:val="auto"/>
        </w:rPr>
        <w:t>We have agreements with Sumitovant, our majority shareholder, and with Sumitovant’s parent, Sumitomo Pharma, and their affiliates, including Sunovion, that may be perceived to create conflicts of interest which, if other investors perceive that Sumitovant or Sumitomo Pharma will not act in the best interests of all of our shareholders, may affect the price of our common shares and have other effects on our company.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and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4"/>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5"/>
        </w:trPr>
        <w:tc>
          <w:tcPr>
            <w:tcW w:w="78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406,704</w:t>
            </w: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23,296</w:t>
            </w: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w:t>
            </w: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w:t>
            </w: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w:t>
            </w:r>
          </w:p>
        </w:tc>
      </w:tr>
      <w:tr>
        <w:trPr>
          <w:trHeight w:val="225"/>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Amount due from related party</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18"/>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488,145</w:t>
            </w: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w:t>
            </w:r>
          </w:p>
        </w:tc>
      </w:t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520,011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2"/>
        </w:trPr>
        <w:tc>
          <w:tcPr>
            <w:tcW w:w="784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w:t>
            </w: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68,594</w:t>
            </w: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100,564</w:t>
            </w: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due to Pfizer</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32,563</w:t>
            </w: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share advance from Pfizer</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33,818</w:t>
            </w: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8"/>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250,330</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375,706</w:t>
            </w: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 (related party)</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358,700</w:t>
            </w: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1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993,488</w:t>
            </w:r>
          </w:p>
        </w:tc>
      </w:tr>
      <w:tr>
        <w:trPr>
          <w:trHeight w:val="205"/>
        </w:trPr>
        <w:tc>
          <w:tcPr>
            <w:tcW w:w="78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deficit: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72"/>
        </w:trPr>
        <w:tc>
          <w:tcPr>
            <w:tcW w:w="784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color w:val="auto"/>
              </w:rPr>
              <w:t>Common shares, par value $0.000017727 per share, 564,111,242 shares authorized; 95,657,032 and</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9"/>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94,858,446 issued and outstanding at June 30, 2022 and March 31, 2022, respectively</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795,935</w:t>
            </w: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(17,285)</w:t>
            </w: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(1,252,129)</w:t>
            </w:r>
          </w:p>
        </w:tc>
      </w:tr>
      <w:tr>
        <w:trPr>
          <w:trHeight w:val="219"/>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(473,477)</w:t>
            </w: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520,011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and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4"/>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41,351</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Pfizer collaboration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29,509</w:t>
            </w:r>
          </w:p>
        </w:tc>
      </w:tr>
      <w:tr>
        <w:trPr>
          <w:trHeight w:val="225"/>
        </w:trPr>
        <w:tc>
          <w:tcPr>
            <w:tcW w:w="7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Accord license revenue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41,063</w:t>
            </w:r>
          </w:p>
        </w:tc>
      </w:tr>
      <w:tr>
        <w:trPr>
          <w:trHeight w:val="205"/>
        </w:trPr>
        <w:tc>
          <w:tcPr>
            <w:tcW w:w="78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costs and expenses: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expense to Pfizer</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r>
      <w:tr>
        <w:trPr>
          <w:trHeight w:val="225"/>
        </w:trPr>
        <w:tc>
          <w:tcPr>
            <w:tcW w:w="784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61,212</w:t>
            </w:r>
          </w:p>
        </w:tc>
      </w:tr>
      <w:tr>
        <w:trPr>
          <w:trHeight w:val="225"/>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30,880</w:t>
            </w:r>
          </w:p>
        </w:tc>
      </w:tr>
      <w:tr>
        <w:trPr>
          <w:trHeight w:val="21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98,385</w:t>
            </w: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(57,322)</w:t>
            </w:r>
          </w:p>
        </w:tc>
      </w:tr>
      <w:tr>
        <w:trPr>
          <w:trHeight w:val="225"/>
        </w:trPr>
        <w:tc>
          <w:tcPr>
            <w:tcW w:w="78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2"/>
                <w:szCs w:val="22"/>
                <w:color w:val="auto"/>
                <w:vertAlign w:val="superscript"/>
              </w:rPr>
              <w:t>(2)</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(60,749)</w:t>
            </w: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7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7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95,388,294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91,637,151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180" w:hanging="174"/>
        <w:spacing w:after="0"/>
        <w:tabs>
          <w:tab w:leader="none" w:pos="18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$1,163 and $1,323 of related party expense (inclusive of third-party pass-through costs) for the three months ended June 30, 2022 and 2021, respectively (see Note</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5).</w:t>
      </w:r>
    </w:p>
    <w:p>
      <w:pPr>
        <w:spacing w:after="0" w:line="78" w:lineRule="exact"/>
        <w:rPr>
          <w:rFonts w:ascii="Times New Roman" w:cs="Times New Roman" w:eastAsia="Times New Roman" w:hAnsi="Times New Roman"/>
          <w:sz w:val="21"/>
          <w:szCs w:val="21"/>
          <w:color w:val="auto"/>
          <w:vertAlign w:val="superscript"/>
        </w:rPr>
      </w:pPr>
    </w:p>
    <w:p>
      <w:pPr>
        <w:ind w:left="160" w:hanging="154"/>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$3,632 and $2,904 of interest expense under the Sumitomo Pharma Loan Agreement for the three months ended June 30, 2022 and 2021, respectively (see Note 5).</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data)</w:t>
      </w:r>
    </w:p>
    <w:p>
      <w:pPr>
        <w:spacing w:after="0" w:line="242" w:lineRule="exact"/>
        <w:rPr>
          <w:sz w:val="20"/>
          <w:szCs w:val="20"/>
          <w:color w:val="auto"/>
        </w:rPr>
      </w:pPr>
    </w:p>
    <w:tbl>
      <w:tblPr>
        <w:tblLayout w:type="fixed"/>
        <w:tblInd w:w="4480" w:type="dxa"/>
        <w:tblCellMar>
          <w:top w:w="0" w:type="dxa"/>
          <w:left w:w="0" w:type="dxa"/>
          <w:bottom w:w="0" w:type="dxa"/>
          <w:right w:w="0" w:type="dxa"/>
        </w:tblCellMar>
      </w:tblPr>
      <w:tr>
        <w:trPr>
          <w:trHeight w:val="161"/>
        </w:trPr>
        <w:tc>
          <w:tcPr>
            <w:tcW w:w="22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1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tcPr>
          <w:p>
            <w:pPr>
              <w:spacing w:after="0"/>
              <w:rPr>
                <w:sz w:val="13"/>
                <w:szCs w:val="13"/>
                <w:color w:val="auto"/>
              </w:rPr>
            </w:pPr>
          </w:p>
        </w:tc>
        <w:tc>
          <w:tcPr>
            <w:tcW w:w="100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4"/>
        </w:trPr>
        <w:tc>
          <w:tcPr>
            <w:tcW w:w="220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8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vMerge w:val="restart"/>
          </w:tcPr>
          <w:p>
            <w:pPr>
              <w:jc w:val="center"/>
              <w:ind w:left="69"/>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99"/>
        </w:trPr>
        <w:tc>
          <w:tcPr>
            <w:tcW w:w="10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wp:posOffset>
            </wp:positionV>
            <wp:extent cx="7126605" cy="151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6605" cy="1511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 2022</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18"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18"/>
          <w:szCs w:val="18"/>
          <w:color w:val="auto"/>
        </w:rPr>
        <w:t>Issuance of shares upon exercise of stock options and release of share awards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loss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94,858,446</w:t>
            </w:r>
          </w:p>
        </w:tc>
        <w:tc>
          <w:tcPr>
            <w:tcW w:w="80" w:type="dxa"/>
            <w:vAlign w:val="bottom"/>
          </w:tcPr>
          <w:p>
            <w:pPr>
              <w:spacing w:after="0"/>
              <w:rPr>
                <w:sz w:val="19"/>
                <w:szCs w:val="19"/>
                <w:color w:val="auto"/>
              </w:rPr>
            </w:pPr>
          </w:p>
        </w:tc>
        <w:tc>
          <w:tcPr>
            <w:tcW w:w="46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795,935</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(17,285)</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(1,252,129)</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(473,477)</w:t>
            </w:r>
          </w:p>
        </w:tc>
      </w:tr>
      <w:tr>
        <w:trPr>
          <w:trHeight w:val="231"/>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r>
      <w:tr>
        <w:trPr>
          <w:trHeight w:val="318"/>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798,586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317"/>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(21,239)</w:t>
            </w:r>
          </w:p>
        </w:tc>
      </w:tr>
      <w:tr>
        <w:trPr>
          <w:trHeight w:val="218"/>
        </w:trPr>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95,657,032</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807,127</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(1,273,368)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(483,524)</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-588645</wp:posOffset>
            </wp:positionV>
            <wp:extent cx="7126605" cy="260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6605" cy="26098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-184785</wp:posOffset>
            </wp:positionV>
            <wp:extent cx="7126605" cy="168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6605" cy="16827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tcPr>
          <w:p>
            <w:pPr>
              <w:spacing w:after="0"/>
              <w:rPr>
                <w:sz w:val="13"/>
                <w:szCs w:val="13"/>
                <w:color w:val="auto"/>
              </w:rPr>
            </w:pPr>
          </w:p>
        </w:tc>
        <w:tc>
          <w:tcPr>
            <w:tcW w:w="100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22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18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0" w:type="dxa"/>
            <w:vAlign w:val="bottom"/>
            <w:gridSpan w:val="2"/>
            <w:vMerge w:val="continue"/>
          </w:tcPr>
          <w:p>
            <w:pPr>
              <w:spacing w:after="0"/>
              <w:rPr>
                <w:sz w:val="9"/>
                <w:szCs w:val="9"/>
                <w:color w:val="auto"/>
              </w:rPr>
            </w:pPr>
          </w:p>
        </w:tc>
        <w:tc>
          <w:tcPr>
            <w:tcW w:w="1180" w:type="dxa"/>
            <w:vAlign w:val="bottom"/>
            <w:vMerge w:val="restart"/>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vMerge w:val="restart"/>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vMerge w:val="restart"/>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vMerge w:val="restart"/>
          </w:tcPr>
          <w:p>
            <w:pPr>
              <w:jc w:val="center"/>
              <w:ind w:left="89"/>
              <w:spacing w:after="0" w:line="126" w:lineRule="exact"/>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24"/>
        </w:trPr>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0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8255</wp:posOffset>
            </wp:positionV>
            <wp:extent cx="7134860" cy="15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340" w:space="140"/>
            <w:col w:w="6760"/>
          </w:cols>
          <w:pgMar w:left="320" w:top="121" w:right="339" w:bottom="1440" w:gutter="0" w:footer="0" w:header="0"/>
          <w:type w:val="continuous"/>
        </w:sectPr>
      </w:pP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18" w:lineRule="exact"/>
        <w:rPr>
          <w:sz w:val="20"/>
          <w:szCs w:val="20"/>
          <w:color w:val="auto"/>
        </w:rPr>
      </w:pPr>
    </w:p>
    <w:p>
      <w:pPr>
        <w:ind w:left="20" w:right="220"/>
        <w:spacing w:after="0" w:line="230" w:lineRule="auto"/>
        <w:rPr>
          <w:sz w:val="20"/>
          <w:szCs w:val="20"/>
          <w:color w:val="auto"/>
        </w:rPr>
      </w:pPr>
      <w:r>
        <w:rPr>
          <w:rFonts w:ascii="Times New Roman" w:cs="Times New Roman" w:eastAsia="Times New Roman" w:hAnsi="Times New Roman"/>
          <w:sz w:val="18"/>
          <w:szCs w:val="18"/>
          <w:color w:val="auto"/>
        </w:rPr>
        <w:t>Share-based compensation liabilities reclassified to equity upon settlement of awards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Share-based compensation reclassified to current liabilities</w:t>
      </w:r>
    </w:p>
    <w:p>
      <w:pPr>
        <w:spacing w:after="0" w:line="24" w:lineRule="exact"/>
        <w:rPr>
          <w:sz w:val="20"/>
          <w:szCs w:val="20"/>
          <w:color w:val="auto"/>
        </w:rPr>
      </w:pPr>
    </w:p>
    <w:p>
      <w:pPr>
        <w:ind w:left="20"/>
        <w:spacing w:after="0" w:line="230" w:lineRule="auto"/>
        <w:rPr>
          <w:sz w:val="20"/>
          <w:szCs w:val="20"/>
          <w:color w:val="auto"/>
        </w:rPr>
      </w:pPr>
      <w:r>
        <w:rPr>
          <w:rFonts w:ascii="Times New Roman" w:cs="Times New Roman" w:eastAsia="Times New Roman" w:hAnsi="Times New Roman"/>
          <w:sz w:val="18"/>
          <w:szCs w:val="18"/>
          <w:color w:val="auto"/>
        </w:rPr>
        <w:t>Issuance of shares upon exercise of stock options and release of share awards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91,000,869</w:t>
            </w: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709,466</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(17,285)</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(1,046,148)</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(353,965)</w:t>
            </w:r>
          </w:p>
        </w:tc>
      </w:tr>
      <w:tr>
        <w:trPr>
          <w:trHeight w:val="231"/>
        </w:trPr>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r>
      <w:tr>
        <w:trPr>
          <w:trHeight w:val="318"/>
        </w:trPr>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318"/>
        </w:trPr>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318"/>
        </w:trPr>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941,774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r>
      <w:tr>
        <w:trPr>
          <w:trHeight w:val="317"/>
        </w:trPr>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(61,660)</w:t>
            </w:r>
          </w:p>
        </w:tc>
      </w:tr>
      <w:tr>
        <w:trPr>
          <w:trHeight w:val="218"/>
        </w:trPr>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91,942,643</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725,465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(17,285)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(1,107,808)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(399,626)</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-991870</wp:posOffset>
            </wp:positionV>
            <wp:extent cx="7134860" cy="260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-588645</wp:posOffset>
            </wp:positionV>
            <wp:extent cx="7134860" cy="260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-184785</wp:posOffset>
            </wp:positionV>
            <wp:extent cx="7134860" cy="168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140"/>
            <w:col w:w="6760"/>
          </w:cols>
          <w:pgMar w:left="320" w:top="121" w:right="339" w:bottom="1440" w:gutter="0" w:footer="0" w:header="0"/>
          <w:type w:val="continuous"/>
        </w:sectPr>
      </w:pP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400" w:type="dxa"/>
            <w:vAlign w:val="bottom"/>
            <w:gridSpan w:val="5"/>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4"/>
        </w:trPr>
        <w:tc>
          <w:tcPr>
            <w:tcW w:w="78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(21,239)</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(61,660)</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(13,343)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Milestone receivable from Pfizer</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 due from related party</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70,491</w:t>
            </w: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Amounts due to Pfizer</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share advance from Pfizer</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(25,831)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w:t>
            </w: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5"/>
        </w:trPr>
        <w:tc>
          <w:tcPr>
            <w:tcW w:w="7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19"/>
        </w:trPr>
        <w:tc>
          <w:tcPr>
            <w:tcW w:w="7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(76,005)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(113,177)</w:t>
            </w: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7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(78,426)</w:t>
            </w:r>
          </w:p>
        </w:tc>
      </w:tr>
      <w:tr>
        <w:trPr>
          <w:trHeight w:val="225"/>
        </w:trPr>
        <w:tc>
          <w:tcPr>
            <w:tcW w:w="7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25"/>
        </w:trPr>
        <w:tc>
          <w:tcPr>
            <w:tcW w:w="7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8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w:t>
            </w:r>
          </w:p>
        </w:tc>
      </w:tr>
      <w:tr>
        <w:trPr>
          <w:trHeight w:val="218"/>
        </w:trPr>
        <w:tc>
          <w:tcPr>
            <w:tcW w:w="7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(80,557)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(183,433)</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416,804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677,480</w:t>
            </w:r>
          </w:p>
        </w:tc>
      </w:t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0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336,247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494,047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2"/>
        </w:trPr>
        <w:tc>
          <w:tcPr>
            <w:tcW w:w="784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Supplemental Disclosures of Non-Cash Financing Information:</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share-based awards recorded to additional paid-in capital</w:t>
            </w:r>
          </w:p>
        </w:tc>
        <w:tc>
          <w:tcPr>
            <w:tcW w:w="100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172"/>
        </w:trPr>
        <w:tc>
          <w:tcPr>
            <w:tcW w:w="784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Reclassification of share-based compensation liabilities to additional paid-in capital upon settlement of</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8"/>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100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31"/>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exercised receivable, included in prepaid expenses and other current assets</w:t>
            </w:r>
          </w:p>
        </w:tc>
        <w:tc>
          <w:tcPr>
            <w:tcW w:w="100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Summary of Significant Accounting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6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Myovant Sciences Ltd. (together with its wholly-owned subsidiaries, the “Company”) is a biopharmaceutical company that aspires to redefine care for women and for men through purpose-driven science, empowering medicines, and transformative advocacy. Founded in 2016, the Company has executed five successful Phase 3 clinical trials across oncology and women’s health leading to two regulatory approvals by the United States (“U.S.”) Food and Drug Administration (“FDA”): (1) ORGOVYX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120 mg), which was approved in the U.S. in December 2020 as the first and only oral gonadotropin-releasing hormone (“GnRH”) receptor antagonist for the treatment of adult patients with advanced prostate cancer; and (2) MYFEMBREE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40 mg, estradiol 1.0 mg, and norethindrone acetate 0.5 mg), which was approved in the U.S. in May 2021 as the first and only once-daily oral GnRH treatment for the management of heavy menstrual bleeding associated with uterine fibroids. In July 2021, the European Commission (“EC”), and in August 2021, the United Kingdom (“U.K.”) Medicines and Healthcare products Regulatory Agency (“MHRA”), approved RYEQO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40 mg, estradiol 1.0 mg, and norethindrone acetate 0.5 mg) as the first and only long-term, once-daily oral treatment in the European Union (“EU”) and U.K., respectively, for moderate to severe symptoms of uterine fibroids in adult women of reproductive age. In April 2022, the EC, and in June 2022, the MHRA, approved ORGOVYX (relugolix 120 mg) as the first and only oral androgen deprivation therapy for advanced hormone-sensitive prostate cancer in the EU and U.K., respectively.</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September 2021, the FDA accepted for review the Company’s supplemental New Drug Application (“sNDA”) for MYFEMBREE for the management of moderate to severe pain associated with endometriosis. On May 6, 2022, the Company and Pfizer announced that the FDA extended the Prescription Drug User Fee Act (“PDUFA”) goal date for this sNDA to August 6, 2022. In June 2022, the FDA accepted for review the Company’s sNDA that proposes updates to the U.S. Prescribing Information based on the safety and efficacy data from the Phase 3 LIBERTY randomized withdrawal study (“RWS”) of MYFEMBREE in premenopausal women with heavy menstrual bleeding due to uterine fibroids for up to two years. The FDA set a PDUFA goal date of January 29, 2023 for this sNDA. MYFEMBREE is also being evaluated for contraceptive efficacy in women with heavy menstrual bleeding associated with uterine fibroids or endometriosis-associated pain who are 18 to 50 years of age and at risk for pregnancy. The Company is also developing MVT-602, an investigational oligopeptide kisspeptin-1 receptor agonist, which has completed a Phase 2a study for the treatment of female infertility as a part of assisted reproduction.</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Since its inception, the Company has funded its operations primarily from the issuance and sale of its common shares, from debt financing arrangements, and more recently from the upfront and milestone payments it has received from its collaboration and commercialization partners, as well as net revenues generated from sales of ORGOVYX and MYFEMBREE in the U.S.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majority shareholder is Sumitovant Biopharma Ltd. (“Sumitovant”), a wholly-owned subsidiary of Sumitomo Pharma Co., Ltd. (“Sumitomo Pharma”), the name of which prior to April 1, 2022 was Sumitomo Dainippon Pharma Co., Ltd. As of June 30, 2022, Sumitovant directly, and Sumitomo Pharma indirectly, own 50,041,181, or approximately 52.3%, of the Company’s outstanding common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fiscal year ends on March 31, and its first three fiscal quarters end on June 30, September 30 and December 31. The Company has determined that it has one operating and reporting segment as it allocates resources and assesses financial performance on a consolidated basis.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(“U.S. GAAP”) for interim financial information and with the instructions to Form 10-Q and Article 10 of Regulation S-X. Accordingly, they do not include all of the information and disclosures required by U.S. GAAP for complete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included in this Quarterly Report on Form 10-Q (“Quarterly Report”) reflect all adjustments (consisting of normal recurring adjustments) considered necessary for a fair presentation of the Company’s condensed consolidated balance sheets as of June 30, 2022 and March 31, 2022, and its condensed consolidated statements of operations and comprehensive loss, cash flows, and shareholders’ deficit for the three months ended June 30, 2022 and 2021. The March 31, 2022 condensed consolidated balance sheet was derived from audited consolidated financial statements, but does not include all disclosures required by U.S. GAAP. The results for interim periods are not necessarily indicative of results for the entire fiscal year or any other interim period. The accompanying unaudited condensed consolidated financial statements should be read in conjunction with the Company’s previously filed audited consolidated financial statements and the related notes thereto included in the Company’s Annual Report on Form 10-K (“Annual Report”) for the fiscal year ended March 31, 2022, filed with the U.S. Securities and Exchange Commission (the “SEC”) on May 11, 2022.</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reference in these notes to applicable accounting guidance is meant to refer to the authoritative U.S. GAAP included in the Accounting Standards Codification (“ASC”) and Accounting Standards Update (“ASU”), issued by the Financial Accounting Standards Board (“FASB”). The unaudited condensed consolidated financial statements include the accounts of the Company and its wholly-owned subsidiaries. All intercompany balances and transactions have been eliminated in consolidation.</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Dollar amounts reported in millions within this Quarterly Report are computed based on the amounts in thousands, and therefore, the sum of components may not equal the total amount reported in millions due to rounding.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the Company’s management to make estimates and assumptions that affect the reported amounts of assets and liabilities at the date of the condensed consolidated financial statements and the accompanying notes, and the reported amounts of revenue and expenses during the reported periods. Actual results could differ materially from those estimates.</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an ongoing basis, the Company’s management evaluates its estimates, including those related to valuation of inventories, impairment testing for long-lived-assets, variables used in calculating the fair value of the Company’s equity awards, expected achievement of performance-based vesting criteria for equity awards, variable consideration and other relevant inputs impacting the gross and net revenue recognition, contingent liabilities, recoverability of deferred tax assets, determination of lease term, research and development (“R&amp;D”) expenses and accruals, and effective income tax rates. Management bases estimates on historical experience and on various other assumptions that are believed to be reasonable, the results of which form the basis for making judgments about the carrying values of assets and liabilities as of the date of the condensed consolidated financial statements and the reported amounts of revenues and expenses during the reporting period, that are not readily apparent from other sources. Estimates and assumptions are periodically reviewed considering changes in circumstances, facts, or experience. Changes in estimates and assumptions are reflected in reported results in the period in which they become known. In addition, management’s assessment of the Company’s ability to continue as a going concern involves the estimation of the amount and timing of future cash inflows and outflows.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accounting policies used by the Company in its presentation of interim financial results are consistent with those described in Note 2 to the Company’s audited consolidated financial statements included in its Annual Report for the fiscal year ended March 31, 2022, filed with the SEC on May 11, 2022. There have been no significant changes in the Company’s significant accounting policies from those disclosed in its Annual Report for the fiscal year ended March 31, 2022.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reclassification has been made to the unaudited condensed consolidated statements of cash flows for the three months ended June 30, 2021 to place them on a comparable basis with the three months ended June 30, 2022, regarding the presentation of amortization of operating lease right-of-use assets of $0.4 million. The reclassification had no effect on the previously reported results of operations. The reclassification had no effect on previously reported cash flows from operating activities in the unaudited condensed consolidated statements of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June 30, 2022, the Company had approximately $358.7 million in cash, cash equivalents, and marketable securities. The Company believes that its existing cash, cash equivalents, and marketable securities will be sufficient to fund its anticipated operating expenses and capital expenditure requirements for at least the next 12 months from the date of issuance of this Quarterly Report.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future periods, if the Company’s cash, cash equivalents, marketable securities, and amounts that it expects to generate from product sales and/or third-party collaboration payments are not sufficient to enable the Company to fund its operations, the Company may need to raise additional funds in the form of equity, debt, or from other sources. There can be no assurances that such funding sources will be available at terms acceptable to the Company, or at all. If the Company has insufficient funding to meet its working capital needs, it could be required to delay, limit, reduce, or terminate its drug development programs, commercialization efforts, and/or limit or cease operations.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June 30, 2022, the Company had approximately $41.3 million of borrowing capacity available to it under the Sumitomo Pharma Loan Agreement (see Note 5(A)). As of June 30, 2022, the Company is also eligible to earn up to $3.6 billion, $122.5 million, and $90.5 million of additional milestone payments from Pfizer Inc. (“Pfizer”), Gedeon Richter Plc. (“Richter”), and Accord Healthcare, Ltd. (“Accord”), respectively, as well as potential royalty payments from Richter and Accord. See Note 8 for additional information about the Pfizer Collaboration and License Agreement, the Richter Development and Commercialization Agreement, and the Accord License Agreement.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available to common shareholders by the weighted-average number of common shares outstanding during the period. Diluted net loss per common share is computed by dividing net loss by the weighted-average number of common shares and potentially dilutive shares of common stock outstanding during the period. Potential dilutive securities outstanding include stock options, restricted stock units, performance stock units, and warrants. During all periods presented, the Company incurred net losses. Accordingly, the effect of any common share equivalents would have been anti-dilutive during those periods and are not included in the calculation of diluted weighted-average number of common shares outstanding.</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excluded the following potential common shares, presented based on amounts outstanding at each period end, from the computation of diluted net loss per common share for the periods indicated because their inclusion would have been anti-dilutive: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200" w:type="dxa"/>
            <w:vAlign w:val="bottom"/>
            <w:gridSpan w:val="3"/>
          </w:tcPr>
          <w:p>
            <w:pPr>
              <w:ind w:left="1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Pr>
          <w:p>
            <w:pPr>
              <w:spacing w:after="0"/>
              <w:rPr>
                <w:sz w:val="16"/>
                <w:szCs w:val="16"/>
                <w:color w:val="auto"/>
              </w:rPr>
            </w:pPr>
          </w:p>
        </w:tc>
      </w:tr>
      <w:tr>
        <w:trPr>
          <w:trHeight w:val="24"/>
        </w:trPr>
        <w:tc>
          <w:tcPr>
            <w:tcW w:w="78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5,921,227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8,613,006</w:t>
            </w: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stock units (unvested)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8,329,253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5,170,442</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73,710</w:t>
            </w:r>
          </w:p>
        </w:tc>
      </w:tr>
      <w:tr>
        <w:trPr>
          <w:trHeight w:val="218"/>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14,324,190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13,857,158</w:t>
            </w:r>
          </w:p>
        </w:tc>
      </w:tr>
      <w:tr>
        <w:trPr>
          <w:trHeight w:val="20"/>
        </w:trPr>
        <w:tc>
          <w:tcPr>
            <w:tcW w:w="78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(Topic 848): </w:t>
      </w:r>
      <w:r>
        <w:rPr>
          <w:rFonts w:ascii="Times New Roman" w:cs="Times New Roman" w:eastAsia="Times New Roman" w:hAnsi="Times New Roman"/>
          <w:sz w:val="18"/>
          <w:szCs w:val="18"/>
          <w:i w:val="1"/>
          <w:iCs w:val="1"/>
          <w:color w:val="auto"/>
        </w:rPr>
        <w:t>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which provides optional expedients and exceptions for applying generally accepted accounting principles to contracts, hedging relationships,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transactions affected by reference rate reform if certain criteria are met. These amendments apply only to contracts, hedging relationships, and other transactions that reference the London Interbank Offered Rate (“LIBOR”) or another reference rate expected to be discontinued because of reference rate reform. The amendments are effective prospectively for all entities as of March 12, 2020 through December 31, 2022. The Company’s outstanding debt with Sumitomo Pharma bears a variable interest rate that is indexed off of 3-month LIBOR, for which publication is expected to be discontinued on June 30, 2023. In the event that 3-month LIBOR becomes unavailable, the Company and Sumitomo Pharma will negotiate in good faith to select an alternative interest rate in accordance with the Sumitomo Pharma Loan Agreement. The Company has not yet adopted this guidance and is currently evaluating the potential impact the adoption of this standard will have on its consolidated financial statements and related disclosures.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(“ASU 2016-13”), which requires the measurement and recognition of expected credit losses for financial assets held at amortized cost. ASU 2016-13 replaces the existing incurred loss impairment model with an expected loss model that requires the use of forward-looking information to calculate credit loss estimates. It also eliminates the concept of other-than-temporary impairment and requires credit losses on available-for-sale debt securities to be recorded through an allowance for credit losses instead of as a reduction in the amortized cost basis of the securities. ASU 2016-13 was effective for annual periods, and interim periods within those annual periods, beginning after December 15, 2019. Early adoption was permitted, including adoption in any interim period. In February 2020, the FASB issued ASU 2020-02,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and Leases</w:t>
      </w:r>
      <w:r>
        <w:rPr>
          <w:rFonts w:ascii="Times New Roman" w:cs="Times New Roman" w:eastAsia="Times New Roman" w:hAnsi="Times New Roman"/>
          <w:sz w:val="18"/>
          <w:szCs w:val="18"/>
          <w:color w:val="auto"/>
        </w:rPr>
        <w:t xml:space="preserve"> (Topic 842) - </w:t>
      </w:r>
      <w:r>
        <w:rPr>
          <w:rFonts w:ascii="Times New Roman" w:cs="Times New Roman" w:eastAsia="Times New Roman" w:hAnsi="Times New Roman"/>
          <w:sz w:val="18"/>
          <w:szCs w:val="18"/>
          <w:i w:val="1"/>
          <w:iCs w:val="1"/>
          <w:color w:val="auto"/>
        </w:rPr>
        <w:t>Amendments to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Paragraphs Pursuant to SEC Staff Accounting Bulletin No. 119 and Update to SEC Section on Effective Date Related to Accounting Standards Update No. 2016-02, Leases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(Topic 842), which amended the effective date of the original pronouncement for smaller reporting companies. ASC 2016-13 and its amendments will be effective for annual and interim periods beginning after December 15, 2022 for smaller reporting companies. The Company is currently assessing the impact the adoption of this new standard will have on its consolidated financial statements and related disclosures.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2—Revenue Components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revenues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780" w:type="dxa"/>
            <w:vAlign w:val="bottom"/>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r>
      <w:tr>
        <w:trPr>
          <w:trHeight w:val="24"/>
        </w:trPr>
        <w:tc>
          <w:tcPr>
            <w:tcW w:w="78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ORGOVYX</w:t>
            </w:r>
          </w:p>
        </w:tc>
        <w:tc>
          <w:tcPr>
            <w:tcW w:w="100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MYFEMBREE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Richter product supply and royalties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Pfizer collaboration revenue: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upfront payment</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20,974</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regulatory milestone</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w:t>
            </w:r>
          </w:p>
        </w:tc>
      </w:tr>
      <w:tr>
        <w:trPr>
          <w:trHeight w:val="219"/>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Pfizer collaboration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Accord license revenue</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116,492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41,063</w:t>
            </w:r>
          </w:p>
        </w:tc>
      </w:tr>
      <w:tr>
        <w:trPr>
          <w:trHeight w:val="20"/>
        </w:trPr>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began generating product revenue from sales of ORGOVYX and MYFEMBREE in the U.S. in January 2021 and June 2021, respectively. The Company records product revenue net of estimated discounts, chargebacks, rebates, product returns, and other gross-to-net revenue deductions.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June 30, 2022, product revenue, net also includes revenues related to product supply to Richter to support their European launches of RYEQO of $1.1 million, as well as royalties on net sales of RYEQO in Richter’s Territory of $0.2 million. There were no such revenues recorded in the three months ended June 30, 2021.</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activities and ending balances for each significant category of discounts and allowances (which constitutes variable consideration) for the three months ended June 30, 2022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 -government</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Chargebacks and</w:t>
            </w:r>
          </w:p>
        </w:tc>
        <w:tc>
          <w:tcPr>
            <w:tcW w:w="30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0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Sales Discounts</w:t>
            </w:r>
          </w:p>
        </w:tc>
        <w:tc>
          <w:tcPr>
            <w:tcW w:w="3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and other incentives</w:t>
            </w: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administrative fees</w:t>
            </w:r>
          </w:p>
        </w:tc>
        <w:tc>
          <w:tcPr>
            <w:tcW w:w="30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0" w:type="dxa"/>
            <w:vAlign w:val="bottom"/>
          </w:tcPr>
          <w:p>
            <w:pPr>
              <w:spacing w:after="0"/>
              <w:rPr>
                <w:sz w:val="1"/>
                <w:szCs w:val="1"/>
                <w:color w:val="auto"/>
              </w:rPr>
            </w:pPr>
          </w:p>
        </w:tc>
      </w:tr>
      <w:tr>
        <w:trPr>
          <w:trHeight w:val="172"/>
        </w:trPr>
        <w:tc>
          <w:tcPr>
            <w:tcW w:w="322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Provision related to sales in the current</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32,172</w:t>
            </w:r>
          </w:p>
        </w:tc>
        <w:tc>
          <w:tcPr>
            <w:tcW w:w="0" w:type="dxa"/>
            <w:vAlign w:val="bottom"/>
          </w:tcPr>
          <w:p>
            <w:pPr>
              <w:spacing w:after="0"/>
              <w:rPr>
                <w:sz w:val="1"/>
                <w:szCs w:val="1"/>
                <w:color w:val="auto"/>
              </w:rPr>
            </w:pPr>
          </w:p>
        </w:tc>
      </w:tr>
      <w:tr>
        <w:trPr>
          <w:trHeight w:val="225"/>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year sales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172"/>
        </w:trPr>
        <w:tc>
          <w:tcPr>
            <w:tcW w:w="322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Credits and payments made during the</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year</w:t>
            </w: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0" w:type="dxa"/>
            <w:vAlign w:val="bottom"/>
          </w:tcPr>
          <w:p>
            <w:pPr>
              <w:spacing w:after="0"/>
              <w:rPr>
                <w:sz w:val="1"/>
                <w:szCs w:val="1"/>
                <w:color w:val="auto"/>
              </w:rPr>
            </w:pPr>
          </w:p>
        </w:tc>
      </w:tr>
      <w:tr>
        <w:trPr>
          <w:trHeight w:val="21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total reserves described above are summarized as components of the Company’s unaudited condensed consolidated balance sheets as follows (in thousands):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4"/>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Reduction of accounts receivable, net</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5"/>
        </w:trPr>
        <w:tc>
          <w:tcPr>
            <w:tcW w:w="7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Component of accrued expenses and other current liabilities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19,390</w:t>
            </w: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revenue-related reserves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Collaboration Revenue</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Pfizer collaboration revenue for the three months ended June 30, 2022 and 2021 consists of the partial recognition of the upfront payment the Company received from Pfizer upon entering into the Pfizer Collaboration and License Agreement in December 2020 and of the regulatory milestone payment from Pfizer that was triggered upon the FDA approval of MYFEMBREE for the management of heavy menstrual bleeding associated with uterine fibroids on May 26, 2021. See Note 8 for additional information regarding the Pfizer Collaboration and License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Accord License Revenue</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Accord license revenue for the three months ended June 30, 2022 consists of the recognition of the upfront payment the Company received from Accord in May 2022 pursuant to the Accord License Agreement. There was no Accord license revenue for the three months ended June 30, 2021. See Note 8 for additional information regarding the Accord License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3—Certain Balance Sheet Components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represents a reconciliation of cash and cash equivalents on the unaudited condensed consolidated balance sheets to total cash, cash equivalents and restricted cash in the unaudited condensed consolidated statements of cash flows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Pr>
          <w:p>
            <w:pPr>
              <w:spacing w:after="0"/>
              <w:rPr>
                <w:sz w:val="16"/>
                <w:szCs w:val="16"/>
                <w:color w:val="auto"/>
              </w:rPr>
            </w:pPr>
          </w:p>
        </w:tc>
      </w:tr>
      <w:tr>
        <w:trPr>
          <w:trHeight w:val="24"/>
        </w:trPr>
        <w:tc>
          <w:tcPr>
            <w:tcW w:w="78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325,535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484,960</w:t>
            </w: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w:t>
            </w:r>
          </w:p>
        </w:tc>
      </w:tr>
      <w:tr>
        <w:trPr>
          <w:trHeight w:val="243"/>
        </w:trPr>
        <w:tc>
          <w:tcPr>
            <w:tcW w:w="7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336,247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494,047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and cash equivalents include cash deposits in banks and all highly liquid investments that are readily convertible to cash (maturity of three months or less at the time of purchase). Restricted cash consists of funds held or designated to satisfy the requirements of certain agreements that are restricted in their use. As of June 30, 2022 and 2021, restricted cash includes approximately $7.1 million, that is held in an escrow fund for use by Sunovion Pharmaceuticals Inc. (“Sunovion”), a subsidiary of Sumitomo Pharma, to manage payments for rebates, chargebacks, and similar fees pursuant to the Market Access Services Agreement (see Note 5(D)).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4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4"/>
        </w:trPr>
        <w:tc>
          <w:tcPr>
            <w:tcW w:w="342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4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25"/>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18"/>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inventories</w:t>
            </w:r>
          </w:p>
        </w:tc>
        <w:tc>
          <w:tcPr>
            <w:tcW w:w="442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420" w:type="dxa"/>
            <w:vAlign w:val="bottom"/>
            <w:vMerge w:val="restart"/>
          </w:tcPr>
          <w:p>
            <w:pPr>
              <w:jc w:val="right"/>
              <w:ind w:right="2032"/>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342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42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4"/>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sales discounts, rebates, and allowances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19,390</w:t>
            </w: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compensation-related expenses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26,389</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 tax payable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R&amp;D expenses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commercial expenses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other expenses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royalties payable to Takeda</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product revenue</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19"/>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65,688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68,594</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Measurements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accordance with U.S. GAAP requires certain assets and liabilities to be reflected at their fair value. Fair value is defined as the exchange price, or exit price, representing the amount that would be received to sell an asset or paid to transfer a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into one of the following three levels of the fair value hierarchy, of which the first two are considered observable and the last is considered unobservable. These levels are as follows:</w:t>
      </w:r>
    </w:p>
    <w:p>
      <w:pPr>
        <w:spacing w:after="0" w:line="132"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1—inputs, which include unadjusted quoted prices in active markets for identical assets or liabilities that the Company has the ability to access;</w:t>
      </w:r>
    </w:p>
    <w:p>
      <w:pPr>
        <w:spacing w:after="0" w:line="175"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which include observable inputs other than Level 1 inputs,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 or liability; and</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which include unobservable inputs that are supported by little or no market activity and that are significant to the fair value of the underlying asset or liability. Level 3 assets and liabilities include those whose fair value measurements are determined using pricing models, discounted cash flow methodologies, or similar valuation techniques, as well as significant management judgement or estimation.</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For a description of the methods and assumptions that are used to estimate the fair value and determine the fair value hierarchy classification of each class of the Company’s financial instruments, see Note 2, “Summary of Significant Accounting Policies,” and Note 4, “Fair Value Measurements,” to the Company’s audited consolidated financial statements included in its Annual Report for the fiscal year ended March 31, 2022, filed with the SEC on May 11, 2022.</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 a Recurring Basis</w:t>
      </w:r>
    </w:p>
    <w:p>
      <w:pPr>
        <w:spacing w:after="0" w:line="16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on a recurring basis and their respective input levels based on the fair value hierarchy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80" w:type="dxa"/>
            <w:vAlign w:val="bottom"/>
            <w:gridSpan w:val="6"/>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Fair Value Measurement Using:</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5"/>
        </w:trPr>
        <w:tc>
          <w:tcPr>
            <w:tcW w:w="542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2"/>
                <w:szCs w:val="22"/>
                <w:color w:val="auto"/>
                <w:vertAlign w:val="superscript"/>
              </w:rPr>
              <w:t>(2)</w:t>
            </w:r>
          </w:p>
        </w:tc>
        <w:tc>
          <w:tcPr>
            <w:tcW w:w="9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218,302</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U.S. treasury securities </w:t>
            </w:r>
            <w:r>
              <w:rPr>
                <w:rFonts w:ascii="Times New Roman" w:cs="Times New Roman" w:eastAsia="Times New Roman" w:hAnsi="Times New Roman"/>
                <w:sz w:val="22"/>
                <w:szCs w:val="22"/>
                <w:color w:val="auto"/>
                <w:vertAlign w:val="superscript"/>
              </w:rPr>
              <w:t>(3)</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18"/>
        </w:trPr>
        <w:tc>
          <w:tcPr>
            <w:tcW w:w="5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1,986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218,302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220,288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gridSpan w:val="6"/>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Fair Value Measurement Using:</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5"/>
        </w:trPr>
        <w:tc>
          <w:tcPr>
            <w:tcW w:w="542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2"/>
                <w:szCs w:val="22"/>
                <w:color w:val="auto"/>
                <w:vertAlign w:val="superscript"/>
              </w:rPr>
              <w:t>(2)</w:t>
            </w:r>
          </w:p>
        </w:tc>
        <w:tc>
          <w:tcPr>
            <w:tcW w:w="9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219,772</w:t>
            </w:r>
          </w:p>
        </w:tc>
        <w:tc>
          <w:tcPr>
            <w:tcW w:w="0" w:type="dxa"/>
            <w:vAlign w:val="bottom"/>
          </w:tcPr>
          <w:p>
            <w:pPr>
              <w:spacing w:after="0"/>
              <w:rPr>
                <w:sz w:val="1"/>
                <w:szCs w:val="1"/>
                <w:color w:val="auto"/>
              </w:rPr>
            </w:pPr>
          </w:p>
        </w:tc>
      </w:tr>
      <w:tr>
        <w:trPr>
          <w:trHeight w:val="243"/>
        </w:trPr>
        <w:tc>
          <w:tcPr>
            <w:tcW w:w="54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Borders>
              <w:top w:val="single" w:sz="8" w:color="auto"/>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219,841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140" w:hanging="134"/>
        <w:spacing w:after="0"/>
        <w:tabs>
          <w:tab w:leader="none" w:pos="14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cash and cash equivalents.</w:t>
      </w:r>
    </w:p>
    <w:p>
      <w:pPr>
        <w:spacing w:after="0" w:line="170" w:lineRule="exact"/>
        <w:rPr>
          <w:rFonts w:ascii="Times New Roman" w:cs="Times New Roman" w:eastAsia="Times New Roman" w:hAnsi="Times New Roman"/>
          <w:sz w:val="9"/>
          <w:szCs w:val="9"/>
          <w:color w:val="auto"/>
        </w:rPr>
      </w:pPr>
    </w:p>
    <w:p>
      <w:pPr>
        <w:ind w:firstLine="6"/>
        <w:spacing w:after="0" w:line="232" w:lineRule="auto"/>
        <w:tabs>
          <w:tab w:leader="none" w:pos="153"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$187.1 million in cash and cash equivalents and $31.2 million in marketable securities as of June 30, 2022. Includes $192.3 million in cash and cash equivalents and $27.5 million in marketable securities as of March 31, 2022.</w:t>
      </w:r>
    </w:p>
    <w:p>
      <w:pPr>
        <w:spacing w:after="0" w:line="136" w:lineRule="exact"/>
        <w:rPr>
          <w:rFonts w:ascii="Times New Roman" w:cs="Times New Roman" w:eastAsia="Times New Roman" w:hAnsi="Times New Roman"/>
          <w:sz w:val="18"/>
          <w:szCs w:val="18"/>
          <w:color w:val="auto"/>
          <w:vertAlign w:val="superscript"/>
        </w:rPr>
      </w:pPr>
    </w:p>
    <w:p>
      <w:pPr>
        <w:ind w:left="140" w:hanging="134"/>
        <w:spacing w:after="0"/>
        <w:tabs>
          <w:tab w:leader="none" w:pos="14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Included in marketable securities, non-current.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as of June 30, 2022 or March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recorded the cost share advance from Pfizer, which is included in Level 2 of the fair value hierarchy, at its estimated fair value as of the transaction date. As discussed in Note 8(B), on the transaction date, the cost share advance from Pfizer was discounted to fair value using the Company’s estimated incremental borrowing rate over the period in which the cost share advance is expected to be utilized. The recorded amount has been and will continue to be reduced each reporting period by the amount of Allowable Expenses applied to the cost share advance. There were no non-recurring fair value assets as of June 30, 2022 and March 31,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5—Related Party Transactions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June 30, 2022, Sumitovant directly, and Sumitomo Pharma indirectly, own 50,041,181, or approximately 52.3%, of the Company’s outstanding common shares. The Company has agreements with Sumitovant, Sumitomo Pharma, and their affiliates, including Sunovion, a subsidiary of Sumitomo Pharma. Certain of these agreements are described below.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Sumitomo Pharma Loan Agreement</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December 27, 2019, the Company and one of its subsidiaries, Myovant Sciences GmbH (“MSG”), entered into a Loan Agreement with Sumitomo Pharma (the “Sumitomo Pharma Loan Agreement”). Pursuant to the Sumitomo Pharma Loan Agreement, Sumitomo Pharma agreed to make revolving loans to the Company in an aggregate principal amount of up to $400.0 million. Funds may be drawn down by the Company once per calendar quarter, subject to certain terms and conditions, including consent of the Company’s board of directors. The maturity date of the loans under the Sumitomo Pharma Loan Agreement is December 27, 2024 or the date the outstanding principal of the loans is declared due and payable due to an event of default pursuant to the terms of the Sumitomo Pharma Loan Agreement. In addition, if Sumitomo Pharma fails to own at least a majority of the Company’s outstanding common shares, it may become unlawful under Japanese law for Sumitomo Pharma to fund loans to the Company, and in which case the Company would not be able to continue to borrow under the Sumitomo Pharma Loan Agreement. Interest is due and payable quarterly, and the outstanding principal amounts are due and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payable in full on the five-year anniversary of the closing date of the Sumitomo Pharma Loan Agreement. Loans under the Sumitomo Pharma Loan Agreement are prepayable at any time without premium or penalty upon 10 business days’ prior written notice.</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Loans under the Sumitomo Pharma Loan Agreement bear interest at a variable rate per annum equal to 3-month LIBOR plus a margin of 3% payable on the last day of each calendar quarter. Publication of 3-month LIBOR is currently expected to be discontinued on June 30, 2023. In the event that 3-month LIBOR becomes unavailable, the Company and Sumitomo Pharma will negotiate in good faith to select an alternative interest rate and, if applicable as a result of such alternative interest rate, margin adjustment that is consistent with industry accepted successor rates for determining a LIBOR replacement. The Company’s obligations under the Sumitomo Pharma Loan Agreement are fully and unconditionally guaranteed by the Company and its subsidiaries. The loans and other obligations are senior unsecured obligations of the Company, MSG, and subsidiary guarantors. The Sumitomo Pharma Loan Agreement includes customary representations and warranties and affirmative and negative covenants.</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Sumitomo Pharma Loan Agreement also includes customary events of default, including payment defaults, breaches of representations and warranties, breaches of covenants following any applicable cure period, cross acceleration to certain other debt, failure to pay certain final judgments, certain events relating to bankruptcy or insolvency, failure of material provisions of the loan documents to remain in full force and effect or any contest thereto by the Company or any of its subsidiaries and certain breaches by the Company under the Investor Rights Agreement. Upon the occurrence of an event of default, a default interest rate of an additional 5.0% will apply to the outstanding principal amount of the loans, Sumitomo Pharma may terminate its obligations to make loans to the Company and declare the principal amount of loans to become immediately due and payable, and Sumitomo Pharma may take such other actions as set forth in the Sumitomo Pharma Loan Agreement. Upon the occurrence of certain bankruptcy and insolvency events, the obligations of Sumitomo Pharma to make loans to the Company would automatically terminate and the principal amount of the loans would automatically become due and payable. In addition, if it becomes unlawful for Sumitomo Pharma to maintain the loans under the Sumitomo Pharma Loan Agreement or within 30 days of a change of control with respect to the Company, the Company would be required to repay the outstanding principal amount of the Loans.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June 30, 2022, approximately $41.3 million of borrowing capacity remains available to the Company, subject to the terms of the Sumitomo Pharma Loan Agreement and the outstanding loan balance of $358.7 million is classified as a long-term liability on the unaudited condensed consolidated balance sheet under the caption long-term debt, less current maturities (related party). Interest expense under the Sumitomo Pharma Loan Agreement was $3.6 million and $2.9 million for the three months ended June 30, 2022 and 2021, respectively, and is included in interest expense in the unaudited condensed consolidated statements of operations and comprehensive loss.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Investor Rights Agreement</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December 27, 2019, the Company entered into an Investor Rights Agreement with Sumitomo Pharma and Sumitovant (the “Investor Rights Agreement”). Pursuant to the Investor Rights Agreement, among other things, the Company agreed, at the request of Sumitovant, to register for sale, under the Securities Act of 1933, common shares beneficially owned by Sumitovant, subject to specified conditions and limitations. In addition, the Company agreed to periodically provide Sumitovant (i) certain financial statements, projections, capitalization summaries and other information and (ii) access to the Company’s books, records, facilities and employees during the Company’s normal business hours as Sumitovant may reasonably request, subject to specified limitations.</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Investor Rights Agreement also contains certain protections for the Company’s minority shareholders for so long as Sumitomo Pharma or certain of its affiliates beneficially owns more than 50% of the Company’s common shares. These protections include: (i) a requirement that Sumitovant vote its shares for the election of independent directors in accordance with the recommendation of the Company’s board of directors (the “board”) or in the same proportion as the shareholders not affiliated with Sumitovant vote their shares; (ii) a requirement that the audit committee of the Company’s board be composed solely of three independent directors; (iii) a requirement that any transaction proposed by Sumitomo Pharma or certain of its affiliates that would increase Sumitomo Pharma’s beneficial ownership to over 60% of the outstanding voting power of the Company must be approved by the Company’s audit committee (if occurring prior to December 27, 2022), and be conditioned on the approval of shareholders not affiliated with Sumitovant approving the transaction by a majority of the common shares held by such shareholders; and a requirement that any related person transactions between Sumitomo Pharma or certain of its affiliates and the Company must be approved by the Company’s audit committee.</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the Investor Rights Agreement, the Company also agreed that at all times that Sumitomo Pharma beneficially owns more than 50% of the Company’s common shares, Sumitomo Pharma, by purchasing common shares in the open market or from the Company in certain specified circumstances, will have the right to maintain its percentage ownership in the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Company’s common shares in the event of a financing event or acquisition event conducted by the Company, or specified other events, subject to specific conditions.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Services and Information Sharing Agreement</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February 2022, the Company and two of its subsidiaries, MSG and Myovant Sciences, Inc. (“MSI”), entered into a services and information sharing agreement with Sumitovant Biopharma, Inc., a wholly-owned subsidiary of Sumitovant. Under the agreement, for so long as Sumitovant is a majority owner of the Company, the Company agrees to (1) subject to Sumitovant’s reasonable request and on a timeline to be reasonably agreed by the parties, supply certain information summarizing material aspects of the Company’s business to Sumitovant, and with reasonable advanced notice, give Sumitovant and its representatives the reasonable opportunity to discuss such information with the Company’s senior management; and (2) subject to the oversight of the chairperson of the Company’s Audit Committee, provide certain additional, more detailed information on business-essential matters in order to collaborate with Sumitovant or to enable the Company to leverage Sumitovant’s expertise.</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agreement, Sumitovant also agrees to provide, upon the Company’s election, various administrative and general business support services as well as research and development services to the Company and its subsidiaries, and the Company agrees to reimburse Sumitovant for expenses it, or third parties acting on its behalf, incurs for the Company. For any general and administrative and research and development activities performed by employees of Sumitovant, the agreement provides for Sumitovant to charge the Company based upon the relative percentage of time utilized on matters related to the Company by the respective employee and a mutually agreed upon mark-up on such expenses. Under the agreement, all other third-party pass-through costs are billed to the Company at cost. For the three months ended June 30, 2022, the Company incurred less than $0.1 million under this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Market Access Services Agreement</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August 1, 2020, one of the Company’s subsidiaries, MSG, entered into a Market Access Services Agreement, as amended (“Market Access Services Agreement”), with Sunovion. Pursuant to the Market Access Services Agreement, among other things, Sunovion agreed to provide to MSG certain market access services with respect to the distribution and sale of ORGOVYX (“Prostate Cancer Product”) and MYFEMBREE (“Women’s Health Product,” and collectively with Prostate Cancer Product, the “Products”, and each a “Product”), including, among other things: (i) adding the Products to Sunovion’s agreements with its third party logistics providers; (ii) adding the Women’s Health Product to certain of Sunovion’s contracts with wholesalers, group purchasing organizations and integrated delivery networks and negotiating rates for the Products with certain market access customers; (iii) providing order-to-cash services; (iv) providing certain employees to provide market access account director services; (v) performing activities required in connection with supporting and maintaining contracts between the Company and market access customers for the coverage, purchase, or dispensing of the Products; (vi) managing the validation, processing and payment of rebates, chargebacks, and certain administrative, distribution and service fees related to the Products; (vii) providing MSG with price reporting metrics and other information required to allow the Company to comply with applicable government price reporting requirements; (viii) coordinating with MSG and any applicable wholesalers and distributors to address any recalls, investigations, or product holds; (ix) configuring, or causing to be configured, the appropriate software systems to enable Sunovion to perform its obligations under the Market Access Services Agreement; and (x) providing training and certain other ancillary support services to facilitate the foregoing. Pursuant to this agreement, Sunovion will also provide certain services to the Company to enable the Company to comply with its obligations under the State Transparency Laws.</w:t>
      </w:r>
    </w:p>
    <w:p>
      <w:pPr>
        <w:spacing w:after="0" w:line="1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MSG, in turn, appointed Sunovion as the exclusive distributor of the Women’s Health Product and a non-exclusive distributor of the Prostate Cancer Product, each in the U.S., including all of its territories and possessions.</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order to facilitate Sunovion’s provision of these services, MSG agreed, among other things, to: (i) grant Sunovion a non-exclusive license under all intellectual property owned or controlled by MSG, solely for Sunovion’s use in connection with its performance of the contemplated services; (ii) provide Sunovion periodic reports of sales projections and estimated volume requirements, as well as such other information as Sunovion reasonably requests or may need to perform the services; (iii) comply with the provisions of any agreements between Sunovion and third parties pursuant to which the Products will be distributed or sold; (iv) cooperate with certain investigations related to orders and audits of MSG’s quality systems solely related, as reasonably determined by Myovant, to Sunovion’s performance of certain regulatory services, at Sunovion’s costs; and (v) promptly notify Sunovion in the event relugolix is recalled.</w:t>
      </w:r>
    </w:p>
    <w:p>
      <w:pPr>
        <w:spacing w:after="0" w:line="1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consideration for the services, MSG has paid and will continue to pay Sunovion an agreed-upon monthly service charge for each of the first two years of the Market Access Services Agreement term and any agreed regulatory and training service charges. After the second year of the Market Access Services Agreement term, the monthly service charges will be determined by the parties. In addition, MSG also agreed to (x) reimburse Sunovion for any pass-through expenses it incurs while providing the services, and (y) establish an escrow fund for use by Sunovion to manage payments for rebates, chargebacks and similar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fees. For the three months ended June 30, 2022 and 2021, the Company incurred $1.1 million and $1.3 million, respectively, under this agreement (inclusive of third-party pass-through costs billed to the Company) which are included in SG&amp;A expenses, in the accompanying consolidated statements of operations and comprehensive loss.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Market Access Services Agreement also contains customary representations and warranties by the parties and customary provisions related to confidentiality, indemnification and insurance. The initial term of the Market Access Services Agreement is three years. Thereafter, the term will be automatically extended for one-year periods, unless either party provides notice of its intent not to renew the Market Access Services Agreement at least nine</w:t>
      </w:r>
    </w:p>
    <w:p>
      <w:pPr>
        <w:spacing w:after="0" w:line="1" w:lineRule="exact"/>
        <w:rPr>
          <w:sz w:val="20"/>
          <w:szCs w:val="20"/>
          <w:color w:val="auto"/>
        </w:rPr>
      </w:pPr>
    </w:p>
    <w:p>
      <w:pPr>
        <w:jc w:val="both"/>
        <w:ind w:firstLine="6"/>
        <w:spacing w:after="0" w:line="247" w:lineRule="auto"/>
        <w:tabs>
          <w:tab w:leader="none" w:pos="2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prior to the expiration of the applicable term. Either party may also terminate the Market Access Services Agreement prior to the end of its term in the event of an uncured material breach by the other party, if there are certain changes of law, or if such other party becomes insolvent or undergoes a change of control. MSG may also terminate the Market Access Services Agreement with respect to one or both Products if Sunovion fails to satisfy certain market access milestones or for convenience upon payment of a break-up fee.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6—Income Taxes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not subject to taxation under the laws of Bermuda since it is organized as a Bermuda Exempted Limited Company, for which there is no current tax regime. It is subject to taxation under the laws of the United Kingdom by virtue of location of central management and control. The income tax expense of the Company and its affiliates currently is primarily attributable to U.S. federal, state and local taxes. The Company’s effective tax rate for the three months ended June 30, 2022 and 2021 was (62.44)% and (1.50)%, respectively. Key determinative factors of the Company’s effective tax rate include the allocation of its earnings by jurisdiction and a valuation allowance that currently eliminates all of the Company’s net deferred tax assets, including in respect of the R&amp;D matter referred to below.</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Effective for tax years beginning after December 31, 2021, the Tax Cuts and Jobs Act 2017 (“TCJA”) amendments to Internal Revenue Code Section 174 will no longer permit an immediate deduction for R&amp;D expenditures in the tax year that such costs are incurred. For expenses that are incurred for R&amp;D in the U.S., such amounts will be amortized over 5 years (this is currently approximately 90% of the Company’s relevant spend), and expenses that are incurred for R&amp;D expenditures outside the U.S. will be amortized over 15 years. The Company’s effective tax rate for the three months ended June 30, 2022 was impacted accordingly. Although it is understood that Congress is considering legislation that would extend the TCJA relief by one or more years, the possibility that this will happen is uncertain and the Company is required to calculate its income tax liabilities based on the provisions of current law.</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assesses the realizability of its deferred tax assets at each balance sheet date based on available positive and negative evidence in order to determine the amount which is more likely than not to be realized, and records a valuation allowance as necessary. The evaluation of the need for a valuation allowance is performed on a jurisdiction-by-jurisdiction basis. Factors reviewed include projections of pre-tax book income for the foreseeable future, determination of cumulative pre-tax book income after permanent differences, earnings history, and reliability of forecasting. Future factors may arise at subsequent balance sheet dates that would impact the assessment of the objective and subjective evidence of the Company. Any adjustment to the deferred tax asset valuation allowance would be recorded in the consolidated statement of operations and comprehensive loss for the period that the adjustment is determined to be required.</w:t>
      </w:r>
    </w:p>
    <w:p>
      <w:pPr>
        <w:spacing w:after="0" w:line="1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response to the COVID-19 pandemic, many governments enacted measures to provide aid and economic stimulus. These measures included deferring the due dates of tax payments and other changes to income and non-income-based-tax laws as well as providing direct government assistance through grants and forgivable loans. On March 27, 2020, the U.S. Coronavirus Aid, Relief, and Economic Security Act (the “CARES Act”) was enacted in response to the COVID-19 pandemic and the negative impacts that it had on the global economy and U.S. companies. The CARES Act includes measures to assist companies, including temporary changes to income and non-income-based tax laws. The Company implemented certain provisions of the CARES Act, such as deferring employer payroll taxes through the end of calendar year 2020. As of June 30, 2022, the Company has $0.9 million of employer payroll taxes deferred under the CARES Act, which is included in accrued expenses and other current liabilities on the unaudited condensed consolidated balance sheet.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7—Share-Based Compensation</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two share-based compensation plans, the Myovant Sciences Ltd. 2016 Equity Incentive Plan (“Equity Incentive Plan”) and the Myovant Sciences Ltd. 2020 Inducement Plan (“Inducement Plan”) (collectively, the “Equity Plans”). As of June 30, 2022, there were approximately 2.2 million and 0.8 million common shares available for future issuance under the Equity Incentive Plan and the Inducement Plan, respectively. For additional information about the Company’s Equity Plans, see Note 10, “Share-Based Compensation,” to the Company’s audited consolidated financial statements included in its Annual Report for the fiscal year ended March 31, 2022, filed with the SEC on May 11,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Stock Options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for stock options for the three months ended June 30, 2022 is included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tcPr>
          <w:p>
            <w:pPr>
              <w:spacing w:after="0"/>
              <w:rPr>
                <w:sz w:val="16"/>
                <w:szCs w:val="16"/>
                <w:color w:val="auto"/>
              </w:rPr>
            </w:pPr>
          </w:p>
        </w:tc>
        <w:tc>
          <w:tcPr>
            <w:tcW w:w="1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Number of Options</w:t>
            </w:r>
          </w:p>
        </w:tc>
      </w:tr>
      <w:tr>
        <w:trPr>
          <w:trHeight w:val="38"/>
        </w:trPr>
        <w:tc>
          <w:tcPr>
            <w:tcW w:w="96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March 31, 2022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6,130,680</w:t>
            </w:r>
          </w:p>
        </w:tc>
      </w:tr>
      <w:tr>
        <w:trPr>
          <w:trHeight w:val="252"/>
        </w:trPr>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204,808</w:t>
            </w:r>
          </w:p>
        </w:tc>
      </w:tr>
      <w:tr>
        <w:trPr>
          <w:trHeight w:val="252"/>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(164,226)</w:t>
            </w:r>
          </w:p>
        </w:tc>
      </w:tr>
      <w:tr>
        <w:trPr>
          <w:trHeight w:val="252"/>
        </w:trPr>
        <w:tc>
          <w:tcPr>
            <w:tcW w:w="9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(250,035)</w:t>
            </w:r>
          </w:p>
        </w:tc>
      </w:tr>
      <w:tr>
        <w:trPr>
          <w:trHeight w:val="24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June 30,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5,921,227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9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Options vested and expected to vest at June 30, 2022</w:t>
            </w:r>
          </w:p>
        </w:tc>
        <w:tc>
          <w:tcPr>
            <w:tcW w:w="16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5,921,227</w:t>
            </w: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at June 30,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3,993,191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Restricted Stock and Performance Stock Units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for restricted stock units and performance share units for the three months ended June 30, 2022 is included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24"/>
        </w:trPr>
        <w:tc>
          <w:tcPr>
            <w:tcW w:w="78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March 31, 2022</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4,532,619</w:t>
            </w:r>
          </w:p>
        </w:tc>
        <w:tc>
          <w:tcPr>
            <w:tcW w:w="0" w:type="dxa"/>
            <w:vAlign w:val="bottom"/>
          </w:tcPr>
          <w:p>
            <w:pPr>
              <w:spacing w:after="0"/>
              <w:rPr>
                <w:sz w:val="1"/>
                <w:szCs w:val="1"/>
                <w:color w:val="auto"/>
              </w:rPr>
            </w:pP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5,057,731</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(634,360)</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(626,737)</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June 30, 2022</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8,329,253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 Share-Based Compensation</w:t>
            </w:r>
          </w:p>
        </w:tc>
        <w:tc>
          <w:tcPr>
            <w:tcW w:w="1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8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during the three months ended June 30, 2022 and 2021 was as follows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840" w:type="dxa"/>
            <w:vAlign w:val="bottom"/>
          </w:tcPr>
          <w:p>
            <w:pPr>
              <w:spacing w:after="0"/>
              <w:rPr>
                <w:sz w:val="24"/>
                <w:szCs w:val="24"/>
                <w:color w:val="auto"/>
              </w:rPr>
            </w:pPr>
          </w:p>
        </w:tc>
        <w:tc>
          <w:tcPr>
            <w:tcW w:w="3400" w:type="dxa"/>
            <w:vAlign w:val="bottom"/>
            <w:gridSpan w:val="5"/>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4"/>
        </w:trPr>
        <w:tc>
          <w:tcPr>
            <w:tcW w:w="7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recognized as: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SG&amp;A expense</w:t>
            </w:r>
          </w:p>
        </w:tc>
        <w:tc>
          <w:tcPr>
            <w:tcW w:w="108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R&amp;D expense</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Cost of product revenue </w:t>
            </w:r>
            <w:r>
              <w:rPr>
                <w:rFonts w:ascii="Times New Roman" w:cs="Times New Roman" w:eastAsia="Times New Roman" w:hAnsi="Times New Roman"/>
                <w:sz w:val="22"/>
                <w:szCs w:val="22"/>
                <w:color w:val="auto"/>
                <w:vertAlign w:val="superscript"/>
              </w:rPr>
              <w:t>(1)</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capitalized into inventory</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Share-based compensation capitalized into inventory is recognized as cost of product revenue when the related product is sold.</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Share-based compensation included in SG&amp;A expense for the three months ended June 30, 2021 includes $1.4 million related to the settlement and remeasurement of the Company’s former Principal Executive Officer’s equity awards. There was no such expense during the three months ended June 30, 2022. Additional information about the Company’s Separation and General Release Agreement with its former Principal Executive Officer is included in Note 10, “Share-Based Compensation,” to the Company’s audited consolidated financial statements included in its Annual Report for the fiscal year ended March 31, 2022, filed with the SEC on May 11, 2022.</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Total unrecognized share-based compensation was approximately $112.1 million as of June 30, 2022 and is expected to be recognized over a weighted-average period of approximately 3.1 years.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8—Collaboration and License Agreements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Richter Development and Commercialization Agreement</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30, 2020, one of the Company’s subsidiaries, MSG, entered into an exclusive license agreement with Richter for Richter to commercialize relugolix combination tablet for uterine fibroids and endometriosis in Europe, the Commonwealth of Independent States including Russia, Latin America, Australia, and New Zealand (the “Richter Development and Commercialization Agreement”). Under the terms of the Richter Development and Commercialization Agreement, the Company received an upfront payment of $40.0 million on March 31, 2020, is eligible to receive up to $40.0 million in regulatory milestone payments (of which $25.0 million has been received), $107.5 million in sales-related milestones, and tiered royalties on net sales following regulatory approval.</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terms of the Richter Development and Commercialization Agreement, the Company continues to lead global development of relugolix combination tablet. The Company also agreed to assist Richter in transferring manufacturing technology from the Company’s CMOs to Richter to enable Richter to manufacture relugolix combination tablet. The Company agreed to supply Richter with quantities of relugolix combination tablet for its territories pursuant to the Company’s agreements with its CMOs. Richter is responsible for local clinical development, manufacturing, and all commercialization activities for its territories. The Company has also granted Richter an option to collaborate with the Company on relugolix combination tablet for future indications in women’s health other than fertility.</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 of the Richter Development and Commercialization Agreement shall expire on a country-by-country basis upon expiry of the Royalty Term (as defined in the Richter Development and Commercialization Agreement) for the respective product in a country in Richter’s Territory. The Richter Development and Commercialization Agreement may be terminated in its entirety or on a country-by-country basis by mutual consent of the parties, or by either party for the uncured material breach of the other party, for bankruptcy of the other party, and for certain other reasons in accordance with the terms of the Richter Development and Commercialization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Pfizer Collaboration and License Agreement</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26, 2020, one of the Company’s subsidiaries, MSG, and Pfizer, entered into a collaboration and license agreement (the “Pfizer Collaboration and License Agreement”), pursuant to which the Company and Pfizer collaborate to jointly develop and commercialize relugolix in oncology and women’s health in the U.S. and Canada (the “Co-Promotion Territory”). In addition, Pfizer also received an option to acquire exclusive commercialization and development rights to relugolix in oncology outside the Co-Promotion Territory, excluding certain Asian countries (the “Pfizer Territory”). Pfizer notified the Company on October 22, 2021 of its decision to decline this option.</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Co-Promotion Territory, the Company and Pfizer equally share profits and certain expenses, including certain pre-launch inventory costs incurred by the Company prior to the effective date of the Pfizer Collaboration and License Agreement (the “Allowable Expenses”). The Company remains responsible for regulatory interactions and drug supply and continues to lead clinical development for MYFEMBREE in the women’s health indications, while development for ORGOVYX is shared equally among the parties.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the U.S., the Company is the principal on all sales transactions with third parties and recognizes 100% of product sales to third parties as revenue from contracts with customers. The Company concluded that based on the principal versus agent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it has primary responsibility for fulfilling customer orders, controls inventory before it is sold to third party customers, assumes the risk of inventory loss, and maintains discretion in establishing product price.</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terms of the Pfizer Collaboration and License Agreement, the Company received an upfront payment of $650.0 million in December 2020, and is eligible to receive up to $3.8 billion of milestone payments, including two regulatory milestones of $100.0 million upon each FDA approval for MYFEMBREE in uterine fibroids and endometriosis ($200.0 million in the aggregate), and tiered sales milestones of up to $3.5 billion upon reaching certain thresholds of annual net sales for oncology and the combined women’s health indications in the Co-Promotion Territory. In July 2021, the Company received a $100.0 million regulatory milestone payment from Pfizer that was triggered upon the FDA approval of MYFEMBREE for the management of heavy menstrual bleeding associated with uterine fibroids on May 26, 2021.</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the terms of the Pfizer Collaboration and License Agreement, the Company has and will continue to bear Pfizer’s share of Allowable Expenses, up to a maximum of $100.0 million for calendar year 2021 and up to a maximum of $50.0 million for calendar year 2022. Any unused portion will carry over into the subsequent calendar years until the Company has assumed in aggregate $150.0 million of Pfizer’s share of the Allowable Expenses.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 of the Pfizer Collaboration and License Agreement continues until no products are sold and all development activities have terminated in the Co-Promotion Territory. The Pfizer Collaboration and License Agreement may be terminated early by either party for the uncured material breach of the other party or for bankruptcy or other insolvency proceeding of the other party. In addition, Pfizer has certain other termination rights and may terminate the Pfizer Collaboration and License Agreement early upon providing written notice to the Company pursuant to the terms of the Pfizer Collaboration and License Agreement.</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Company assessed the Pfizer Collaboration and License Agreement and determined that it meets both criteria to be considered a collaborative agreement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active participation by both parties and exposures to significant risks and rewards dependent on the commercial success of the activities. Although the Company is lead party and will perform many activities, both development and commercialization responsibilities are assigned between parties and both parties participate on joint steering and other committees overseeing the collaboration activities. Both parties are exposed to significant risks and rewards based on the economic outcomes of the collaboration through cost sharing and profit (loss) sharing provisions. Net payments to/from Pfizer for Pfizer’s share of the net profits and Allowable Expenses will be disaggregated and presented in the Company’s consolidated statements of operations and comprehensive loss according to the nature of the expense (e.g., collaboration expense, R&amp;D expenses, or SG&amp;A expenses).</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discussed above, the Company received a $650.0 million upfront payment from Pfizer in December 2020, of which $150.0 million is Pfizer’s advanced reimbursement for Pfizer’s share of Allowable Expenses (up to $100.0 million for calendar year 2021 and up to $50.0 million for calendar year 2022). The Company concluded that the prepayment by Pfizer of its share of Allowable Expenses represents a significant financing component since the Company received the cash flows at the outset of the arrangement, rather than over a two-year period. Accordingly, the Company reduced the amount of the advanced reimbursement by approximately $3.6 million, representing the implied financing costs based on the Company’s incremental borrowing rate that was derived based on the Sumitomo Pharma Loan Agreement, and recorded the discounted value of $146.4 million on the consolidated balance sheet as a deposit liability (cost share advance from Pfizer) as of the transaction date, split between a current and a non-current portion, based on the expected timing of Allowable Expenses subject to cost share. The financing component has been and will continue to be accreted to interest expense utilizing a method that approximates the effective yield method over the period in which the cost share advance is expected to be used. The remainder of the upfront payment was recorded as deferred revenue and has been and will continue to be recognized as Pfizer collaboration revenue on a straight-line basis over the estimated term of the agreement of six years, which was estimated by the Company based upon the terms of the Pfizer Collaboration and License Agreement, including the termination provisions contained therein. The Company determined straight-line amortization to be appropriate because the upfront payment represents payment for Pfizer’s right to participate in the collaboration activities, including both commercialization and development activities, which are expected to be realized evenly over this period.</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achievement of regulatory milestones is outside of the Company’s control and therefore was not deemed probable at contract inception. Amounts associated with the regulatory milestones were not initially recognized. Upon achievement of the related regulatory milestones, cumulative catch-up revenue will be recorded as Pfizer collaboration revenue in the period in which the respective regulatory milestone is achieved, and the remainder will be recognized over the remaining contract term. The Company determined that, conceptually, the regulatory milestone payments represent payment for development activities that will continue to benefit the collaboration as the products move toward commercialization. Accordingly, the recognition of revenue associated with the regulatory milestones follows the same amortization model as the upfront payment described above.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Similar to the regulatory milestones, sales-based milestone payments will not initially be recognized due to the uncertainty associated with the future commercial outcomes of ORGOVYX and MYFEMBREE. Upon achievement, the sales-based milestones will be recognized as revenue immediately in the period when the annual sales thresholds are met as the payments represent consideration for past activities that are completed and culminated in the annual sales thresholds being met.</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amount due to Pfizer as of June 30, 2022, was approximately $39.2 million and consisted of $18.0 million payable to Pfizer for Pfizer’s 50% share of net profits on sales of ORGOVYX and MYFEMBREE in the U.S. and approximately $21.2 million for 50% of Pfizer’s reimbursement of Allowable Expenses. 100% of all expenses related to Pfizer under the Pfizer Collaboration and License Agreement are initially expensed and then the full pool of expenses incurred by both the Company and Pfizer are reduced through application of the cost sharing allowance. The amount due to Pfizer as of March 31, 2022 was approximately $32.6 million and consisted of $14.1 million payable to Pfizer for Pfizer’s 50% share of net profits on sales of ORGOVYX and MYFEMBREE in the U.S. and approximately $18.5 million for 50% of Pfizer’s reimbursement of Allowable Expenses.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Accord License Agreement</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May 5, 2022, one of the Company’s subsidiaries, MSG, entered into an exclusive license agreement (the “Accord License Agreement”) with Accord and Intas Pharmaceuticals, Ltd., parent entity of Accord, for Accord to commercialize relugolix for the treatment of advanced hormone-sensitive prostate cancer under the trade name ORGOVYX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120 mg) in the European Economic Area, U.K., Switzerland, and Turkey (“Accord’s Territories”), with the right of first negotiation if the Company decides to enter into licensing arrangements in countries in the Middle East, Africa, and India. Under the terms of the Accord License Agreement, the Company received an upfront payment of $50.0 million in the three months ended June 30, 2022. The Company is also eligible to receive up to $90.5 million in commercial launch, sales-based, and other milestone payments, as well as tiered royalties from the high-teens to mid-twenties on net sales of ORGOVYX in Accord’s Territories.</w:t>
      </w:r>
    </w:p>
    <w:p>
      <w:pPr>
        <w:spacing w:after="0" w:line="1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terms of the Accord License Agreement, the Company retains all rights to relugolix in the U.S. with its collaboration partner, Pfizer, as well as rights to relugolix in other therapeutic areas outside of prostate cancer, uterine fibroids, and endometriosis in Europe. The Company will continue to lead the global development of relugolix and may provide initial product supply to Accord, subject to the parties entering into a separate supply agreement. Accord will be responsible for certain local clinical development and all commercialization for its territories and has the option to manufacture relugolix in the future. In the event that Accord elects to exercise this option, the Company has agreed to assist Accord in transferring manufacturing technology from the Company’s CMOs to Accord to enable Accord to manufacture its own product supply.</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term of the Accord License Agreement shall expire on a country-by-country basis upon expiry of the Royalty Term (as defined in the Accord License Agreement). The Accord License Agreement may be terminated in its entirety or on a country-by-country basis by either party for the uncured material breach or bankruptcy of the other party, and for certain other reasons in accordance with the terms of the Accord License Agreement.</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concluded that Accord represents a customer and evaluated the Accord License Agreement under ASC 606. Based on that evaluation, the Company identified a single performance obligation under the Accord License Agreement, consisting of the Company’s promise to grant Accord a license to certain of the Company’s intellectual property. The Company determined that the initial transaction price consisted solely of the non-refundable upfront payment of $50.0 million, which was recognized as revenue upon delivery of the license to Accord during the three months ended June 30, 2022.</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Furthermore, the sales-based milestones will be recognized as revenue immediately in the period when the related sales threshold is met. All other milestones will be recognized as revenue immediately in the period the underlying milestone is achieved. Any consideration related to sales-based royalties will be recognized when the related sales occur.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Contract Balances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liabilities during the three months ended June 30, 2022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at March 31,</w:t>
            </w:r>
          </w:p>
        </w:tc>
        <w:tc>
          <w:tcPr>
            <w:tcW w:w="220" w:type="dxa"/>
            <w:vAlign w:val="bottom"/>
          </w:tcPr>
          <w:p>
            <w:pPr>
              <w:spacing w:after="0"/>
              <w:rPr>
                <w:sz w:val="13"/>
                <w:szCs w:val="13"/>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4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Imputed Interest</w:t>
            </w:r>
          </w:p>
        </w:tc>
        <w:tc>
          <w:tcPr>
            <w:tcW w:w="24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3"/>
                <w:szCs w:val="13"/>
                <w:color w:val="auto"/>
              </w:rPr>
            </w:pPr>
          </w:p>
        </w:tc>
        <w:tc>
          <w:tcPr>
            <w:tcW w:w="122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0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22"/>
                <w:szCs w:val="22"/>
                <w:color w:val="auto"/>
                <w:vertAlign w:val="superscript"/>
              </w:rPr>
              <w:t>(1)</w:t>
            </w: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476,270</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451,129</w:t>
            </w:r>
          </w:p>
        </w:tc>
        <w:tc>
          <w:tcPr>
            <w:tcW w:w="0" w:type="dxa"/>
            <w:vAlign w:val="bottom"/>
          </w:tcPr>
          <w:p>
            <w:pPr>
              <w:spacing w:after="0"/>
              <w:rPr>
                <w:sz w:val="1"/>
                <w:szCs w:val="1"/>
                <w:color w:val="auto"/>
              </w:rPr>
            </w:pPr>
          </w:p>
        </w:tc>
      </w:tr>
      <w:tr>
        <w:trPr>
          <w:trHeight w:val="265"/>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Cost share advance from Pfizer </w:t>
            </w:r>
            <w:r>
              <w:rPr>
                <w:rFonts w:ascii="Times New Roman" w:cs="Times New Roman" w:eastAsia="Times New Roman" w:hAnsi="Times New Roman"/>
                <w:sz w:val="22"/>
                <w:szCs w:val="22"/>
                <w:color w:val="auto"/>
                <w:vertAlign w:val="superscript"/>
              </w:rPr>
              <w:t>(2)</w:t>
            </w: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849"/>
        </w:trPr>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firstLine="6"/>
        <w:spacing w:after="0" w:line="234" w:lineRule="auto"/>
        <w:tabs>
          <w:tab w:leader="none" w:pos="169"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$100.6 million and $350.6 million presented as current and non-current, respectively, on the unaudited condensed consolidated balance sheet as of June 30, 2022. Includes $100.6 million and $375.7 million presented as current and non-current, respectively, on the unaudited condensed consolidated balance sheet as of March 31, 2022.</w:t>
      </w:r>
    </w:p>
    <w:p>
      <w:pPr>
        <w:spacing w:after="0" w:line="84" w:lineRule="exact"/>
        <w:rPr>
          <w:rFonts w:ascii="Times New Roman" w:cs="Times New Roman" w:eastAsia="Times New Roman" w:hAnsi="Times New Roman"/>
          <w:sz w:val="20"/>
          <w:szCs w:val="20"/>
          <w:color w:val="auto"/>
          <w:vertAlign w:val="superscript"/>
        </w:rPr>
      </w:pPr>
    </w:p>
    <w:p>
      <w:pPr>
        <w:ind w:firstLine="6"/>
        <w:spacing w:after="0" w:line="229" w:lineRule="auto"/>
        <w:tabs>
          <w:tab w:leader="none" w:pos="173"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$8.6 million presented as current on the unaudited condensed consolidated balance sheet as of June 30, 2022. Includes $33.8 million presented as current on the unaudited condensed consolidated balance sheet as of March 31,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2022, deferred revenue decreased by $25.1 million, as a result of the recognition of Pfizer collaboration revenue.</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2022, cost share advance from Pfizer decreased by $25.3 million. The decrease was the net result of the application of 100% of shared Allowable Expenses incurred by the Company and 50% of reimbursement of Allowable Expenses incurred by Pfizer of approximately $25.8 million (consisting of $8.5 million and $17.3 million in reductions to R&amp;D expenses and SG&amp;A expenses, respectively), partially offset by accretion of the implied financing component of $0.6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Legal Contingencies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liability can be reasonably estimated. For cases in which the Company believes that a reasonably possible loss exists, the Company discloses the facts and circumstances of the loss contingency, including an estimable range, if possible. The Company is currently not involved in any material legal proceedings.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Contract Service Providers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normal course of business, the Company enters into agreements with contract service providers to assist in the performance of its R&amp;D and clinical and commercial manufacturing activities. Subject to required notice periods and the Company’s obligations under binding purchase orders, the Company can elect to discontinue the work under these agreements at any time. The Company expects to enter into additional collaborative research, contract research, clinical and commercial manufacturing, and supplier agreements in the future, which may require upfront payments and long-term commitments of capital resources.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Indemnification Agreements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has agreed to indemnify its officers and directors for certain events or occurrences, subject to certain limits, while the officer or director was serving at the Company’s request in such capacity. The maximum amount of potential future indemnification liability is unlimited; however, the Company holds directors’ and officers’ liability insurance which limits the Company’s exposure and may enable it to recover a portion of any future amounts paid. In the normal course of business, the Company also enters into contracts and agreements with service providers and other parties with which it conducts business that contain indemnification provisions pursuant to which the Company has agreed to indemnify the party against certain types of third-party claims. The Company has agreed to indemnify Sumitomo Pharma against certain losses, claims, liabilities and related expenses incurred by Sumitomo Pharma, subject to the terms of the Sumitomo Pharma Loan Agreement and the Investor Rights Agreement. The Company has also agreed to indemnify Sunovion against certain losses, claims, liabilities and related expenses incurred by Sunovion, subject to the terms of the Market Access Services Agreement, as amended. The Company has not experienced any material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accruals have been established.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Takeda Agreements</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April 29, 2016, Takeda Pharmaceuticals International AG (“Takeda”), a subsidiary of Takeda Pharmaceutical Company Limited, the originator of relugolix, granted the Company a worldwide license to develop and commercialize relugolix (excluding Japan and certain other Asian countries) and an exclusive right to develop and commercialize MVT-602 in all countries worldwide. Pursuant to the license agreement (the “Takeda License Agreement”), Takeda granted to the Company an exclusive, royalty-bearing license under certain patents and other intellectual property controlled by Takeda to develop and commercialize relugolix and MVT-602, and products containing these compounds for all human diseases and conditions. Under the Takeda License Agreement, the Company will pay Takeda a fixed, high single-digit royalty on net sales of certain relugolix products, a low single-digit royalty on net sales of certain other relugolix products, and a high single-digit royalty on net sales of MVT-602 products in the Company’s territory, all subject to certain agreed reductions. For the three months ended June 30, 2022 and 2021, the Company recorded royalty expense to Takeda of $3.1 million and $0.9 million, respectively, which is included in cost of product revenue on the unaudited condensed consolidated statements of operations and comprehensive loss. As of June 30, 2022 and March 31, 2022, the Company recorded royalties payable to Takeda of $3.1 million and $2.5 million, respectively, which are included in accrued expenses and other current liabilities on the unaudited condensed consolidated balance sheets. Takeda will pay the Company a high single-digit royalty on net sales of relugolix products for prostate cancer in the Takeda Territory, subject to certain agreed reductions. Royalties are required to be paid, on a product-by-product and country-by-country basis, until the latest to occur of the expiration of the last to expire valid claim of a licensed patent covering such product in such country, the expiration of regulatory exclusivity for such product in such country, or 10 years after the first commercial sale of such product in such country. Under the Takeda License Agreement, there was no upfront payment and there are no payments upon the achievement of clinical development or marketing approval milestones.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Takeda License Agreement is terminated in its entirety or with respect to relugolix for prostate cancer, other than for safety reasons or by the Company for Takeda’s uncured material breach, prior to receipt of the first regulatory approval of relugolix for prostate cancer in Japan, then the Company must either reimburse Takeda for its out of pocket costs and expenses directly incurred in connection with Takeda’s completion of the relugolix development for prostate cancer, up to an agreed upon cap, or complete by itself the conduct of any clinical studies of relugolix for prostate cancer that are ongoing as of the effective date of such termination, at its cost and expense.</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May 2018, the Company entered into a Commercial Manufacturing and Supply Agreement with Takeda (the “Takeda Commercial Supply Agreement”) pursuant to which Takeda agreed to supply the Company and the Company agreed to obtain from Takeda certain quantities of relugolix drug substance according to agreed-upon quality specifications. The initial term of the Takeda Commercial Supply Agreement began on May 30, 2018 and will continue for five years. At the end of the initial term, the Takeda Commercial Supply Agreement will automatically renew for successive one-year terms, unless either party gives notice of termination to the other at least 12 months prior to the end of the then-current term. The Takeda Commercial Supply Agreement may be terminated by either party upon 90 days’ notice of an uncured material breach of its terms by the other party, or immediately upon notice to the other party of a party’s bankruptcy. Each party will also have the right to terminate the Takeda Commercial Supply Agreement, in whole or in part, for any reason upon 180 days’ prior written notice to the other party, provided that any then-open purchase orders will remain in effect and be binding on both parties. The Takeda Commercial Supply Agreement, including any then-open purchase orders thereunder, will terminate immediately upon the termination of the Takeda License Agreement in accordance with its terms.</w:t>
      </w:r>
    </w:p>
    <w:p>
      <w:pPr>
        <w:spacing w:after="0" w:line="377" w:lineRule="exact"/>
        <w:rPr>
          <w:sz w:val="20"/>
          <w:szCs w:val="20"/>
          <w:color w:val="auto"/>
        </w:rPr>
      </w:pPr>
    </w:p>
    <w:p>
      <w:pPr>
        <w:ind w:right="3960"/>
        <w:spacing w:after="0" w:line="431"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Objective</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purpose of the following discussion and analysis is to provide material information relevant to an assessment of our financial condition and results of operations from management’s perspective, including to describe and explain key trends, events, and other factors that impacted our reported results for the periods presented and that are reasonably likely to impact our future performance.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discussion and analysis below is organized as follows:</w:t>
      </w:r>
    </w:p>
    <w:p>
      <w:pPr>
        <w:spacing w:after="0" w:line="164" w:lineRule="exact"/>
        <w:rPr>
          <w:sz w:val="20"/>
          <w:szCs w:val="20"/>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 including a description of our business and recent events that are important to understand our results of operations and financial condition;</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components of our results of operations and a discussion of our results of operations, including an explanation of significant changes between the periods presented in the specific line items of our condensed consolidated statements of operations and comprehensive loss;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addressing our liquidity position, sources and uses of cash, capital resources and requirements, and commitments; and</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significant judgments and use of estimates which are most important to our financial condition and results of operations.</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you read this discussion and analysis, refer to our unaudited condensed consolidated financial statements and footnotes included in Part 1. Item 1. of this Quarterly Report on Form 10-Q (“Quarterly Report”). Also refer to our Annual Report on Form 10-K (“Annual Report”) for the year ended March 31, 2022, filed with the United States Securities and Exchange Commission (“SEC”) on May 11, 2022, which is available free of charge on the SEC’s website at www.sec.gov and our investor relations website at investors.myovant.com. This discussion and analysis contains forward looking statements and should also be read in conjunction with the cautionary statement set forth in the section below titled, “Information Relating to Forward-Looking Statements.”</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Dollar amounts reported in millions within this Quarterly Report are computed based on the amounts in thousands, and therefore, the sum of components may not equal the total amount reported in millions due to rounding.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Relating to Forward-Looking Statements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“can,” “continue,” “could,” “estimate,” “expect,” “intend,” “likely,” “may,” “might,” “objective,” “ongoing,” “plan,” “potential,” “predict,” “project,” “should,” “to be,” “will,” “would,” or the negative or plural of these words, or similar expressions or variations, although not all forward-looking statements contain these words. We cannot assure you that the events and circumstances reflected in the forward-looking statements will be achieved or occur and actual results could differ materially from those expressed or implied by these forward-looking statements.</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forward-looking statements appearing in a number of places throughout this Quarterly Report include, but are not limited to, statements regarding our intentions, beliefs, projections, outlook, analyses or current expectations concerning, among other things:</w:t>
      </w:r>
    </w:p>
    <w:p>
      <w:pPr>
        <w:spacing w:after="0" w:line="107" w:lineRule="exact"/>
        <w:rPr>
          <w:sz w:val="20"/>
          <w:szCs w:val="20"/>
          <w:color w:val="auto"/>
        </w:rPr>
      </w:pPr>
    </w:p>
    <w:p>
      <w:pPr>
        <w:ind w:left="640" w:hanging="316"/>
        <w:spacing w:after="0" w:line="24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collaboration and commercialization partners’ ability to successfully plan for and commercialize ORGOVYX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MYFEMBREE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RYEQO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as well as any product candidates, if approved;</w:t>
      </w:r>
    </w:p>
    <w:p>
      <w:pPr>
        <w:spacing w:after="0" w:line="6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and anticipated timing of our clinical studies for our product candidates;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start dates, durations and completion dates of our ongoing and future nonclinical and clinical studies;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designs of our future clinical studies;</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future regulatory submissions and the timing of, and our ability to, obtain and maintain, regulatory approvals for our product candidates, including any decision the FDA may make regarding our supplemental New Drug Application (“sNDA”) for MYFEMBREE for the management of moderate to severe pain associated with endometriosis and our sNDA that proposes updates to MYFEMBREE’s United States Prescribing Information (“USPI”) based on safety and efficacy data from the Phase 3 LIBERTY randomized withdrawal study of MYFEMBREE in premenopausal women with heavy menstrual bleeding associated with uterine fibroids for up to two years;</w:t>
      </w:r>
    </w:p>
    <w:p>
      <w:pPr>
        <w:spacing w:after="0" w:line="132"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sufficient quantities of commercial relugolix drug substance and drug product from approved third party commercial manufacturing organizations (“CMOs”);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commercial sales of any approved products, whether alone or in collaboration with others;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reimbursement and coverage from government and private payers for our products if commercialized;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approved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initiate and continue relationships with third-party clinical research organizations and manufacturers and third-party logistics providers;</w:t>
      </w:r>
    </w:p>
    <w:p>
      <w:pPr>
        <w:spacing w:after="0" w:line="175"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and efficiently identify and develop new product candidates;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right="2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epidemics or outbreaks of infectious diseases, including the effect that the COVID-19 pandemic and related public health measures will have on our business operations, financial condition and results of operations;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various social, political, economic, industry, inflationary, global supply chain, or other market conditions in the U.S. and around the world (including wars and other forms of conflict such as the conflict in Ukraine);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our management and other key personnel;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intellectual property rights for our products and product candidates;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results of operations, financial condition, liquidity, capital requirements, access to capital, prospects, growth and strategies;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fund our operations with the cash, cash equivalents, and marketable securities currently on hand, including our expectations for how long these capital resources will enable us to fund our operations;</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potential future payments that we are eligible to receive from Pfizer Inc. (“Pfizer”) under the Pfizer Collaboration and License Agreement, Gedeon Richter Plc. (“Richter”) under the Richter Development and Commercialization Agreement, and Accord Healthcare, Ltd. (“Accord”) under the Accord License Agreement;</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Sumitomo Pharma Co., Ltd. (“Sumitomo Pharma”) Loan Agreement;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collaboration or commercialization partners’ abilities to perform their obligations under our agreements with them;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if needed, on acceptable terms to us;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or our industry;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drugs that are or may become available.</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Such forward-looking statements are subject to a number of risks, uncertainties, assumptions and other factors known and unknown that could cause actual results and the timing of certain events to differ materially from future results expressed or implied by the forward-looking statements. Factors that could cause or contribute to such differences include, but are not limited to, those identified herein, particularly in the section titled “Risk Factors” set forth in Part</w:t>
      </w:r>
    </w:p>
    <w:p>
      <w:pPr>
        <w:spacing w:after="0" w:line="1" w:lineRule="exact"/>
        <w:rPr>
          <w:sz w:val="20"/>
          <w:szCs w:val="20"/>
          <w:color w:val="auto"/>
        </w:rPr>
      </w:pPr>
    </w:p>
    <w:p>
      <w:pPr>
        <w:jc w:val="both"/>
        <w:ind w:firstLine="6"/>
        <w:spacing w:after="0" w:line="246" w:lineRule="auto"/>
        <w:tabs>
          <w:tab w:leader="none" w:pos="2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1A. of this Quarterly Report, and in our other filings with the SEC. 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a biopharmaceutical company that aspires to redefine care for women and for men through purpose-driven science, empowering medicines, and transformative advocacy. Founded in 2016, we have executed five successful Phase 3 clinical trials across oncology and women’s health leading to two regulatory approvals by the United States (“U.S.”) Food and Drug Administration (“FDA”): (1) ORGOVYX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120 mg), which was approved in the U.S. in December 2020 as the first and only oral gonadotropin-releasing hormone (“GnRH”) receptor antagonist for the treatment of adult patients with advanced prostate cancer; and (2) MYFEMBREE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40 mg, estradiol 1.0 mg, and norethindrone acetate 0.5 mg), which was approved in the U.S. in May 2021 as the first and only once-daily oral GnRH treatment for the management of heavy menstrual bleeding associated with uterine fibroids. In July 2021, the European Commission (“EC”), and in August 2021, the United Kingdom (“U.K.”) Medicines and Healthcare products Regulatory Agency (“MHRA”), approved RYEQO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40 mg, estradiol 1.0 mg, and norethindrone acetate 0.5 mg) as the first and only long-term, once-daily oral treatment in the European Union (“EU”) and U.K., respectively, for moderate to severe symptoms of uterine fibroids in adult women of reproductive age.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April 2022, the EC, and in June 2022, the MHRA, approved ORGOVYX (relugolix 120 mg) as the first and only oral androgen deprivation therapy for advanced hormone-sensitive prostate cancer in the EU and U.K., respectively.</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September 2021, the FDA accepted for review our supplemental New Drug Application (“sNDA”) for MYFEMBREE for the management of moderate to severe pain associated with endometriosis. On May 6, 2022, we and Pfizer announced that the FDA extended the Prescription Drug User Fee Act (“PDUFA”) goal date for this sNDA to August 6, 2022. In June 2022, the FDA accepted for review our sNDA that proposes updates to the USPI based on safety and efficacy data from the Phase 3 LIBERTY randomized withdrawal study of MYFEMBREE in premenopausal women with heavy menstrual bleeding due to uterine fibroids for up to two years. The FDA set a PDUFA goal date of January 29, 2023 for this sNDA. MYFEMBREE is also being evaluated for contraceptive efficacy in women with heavy menstrual bleeding associated with uterine fibroids or endometriosis-associated pain who are 18 to 50 years of age and at risk for pregnancy. We are also developing MVT-602, an investigational oligopeptide kisspeptin-1 receptor agonist, which has completed a Phase 2a study for the treatment of female infertility as a part of assisted reproduction.</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from the issuance and sale of our common shares, from debt financing arrangements, and more recently from the upfront and milestone payments we have received from our collaboration and commercialization partners, as well as net revenues generated from sales of ORGOVYX and MYFEMBREE in the U.S.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majority shareholder is Sumitovant Biopharma Ltd. (“Sumitovant”), a wholly-owned subsidiary of Sumitomo Pharma, the name of which prior to April 1, 2022 was Sumitomo Dainippon Pharma Co., Ltd. As of June 30, 2022, Sumitovant directly, and Sumitomo Pharma indirectly, own 50,041,181, or approximately 52.3%, of our outstanding common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Fiscal Quarter Ended June 30, 2022 Financial Highlights and Recent Business Updates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this section, we summarize certain of our first fiscal quarter ended June 30, 2022 financial highlights and recent regulatory, clinical and business updates. Additional information about our business, our approved products, and our product candidates is included in Part I, Item 1., “Business,” of our Annual Report, filed with the SEC on May 11,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68"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Total revenues for the three months ended June 30, 2022 were $116.5 million compared to $41.1 million for the three months ended June 30, 2021.</w:t>
      </w:r>
    </w:p>
    <w:p>
      <w:pPr>
        <w:spacing w:after="0" w:line="175" w:lineRule="exact"/>
        <w:rPr>
          <w:rFonts w:ascii="Times New Roman" w:cs="Times New Roman" w:eastAsia="Times New Roman" w:hAnsi="Times New Roman"/>
          <w:sz w:val="17"/>
          <w:szCs w:val="17"/>
          <w:b w:val="1"/>
          <w:bCs w:val="1"/>
          <w:color w:val="auto"/>
        </w:rPr>
      </w:pPr>
    </w:p>
    <w:p>
      <w:pPr>
        <w:jc w:val="both"/>
        <w:ind w:left="640" w:hanging="316"/>
        <w:spacing w:after="0" w:line="259" w:lineRule="auto"/>
        <w:tabs>
          <w:tab w:leader="none" w:pos="63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Product revenue, net for the three months ended June 30, 2022, was $41.4 million, compared to $11.6 million for the three months ended June 30, 2021. Net revenue from sales of ORGOVYX and MYFEMBREE were $36.0 million and $4.0 million, respectively, for the three months ended June 30, 2022.</w:t>
      </w:r>
    </w:p>
    <w:p>
      <w:pPr>
        <w:spacing w:after="0" w:line="124"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59" w:lineRule="auto"/>
        <w:tabs>
          <w:tab w:leader="none" w:pos="63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Accord license revenue for the three months ended June 30, 2022, was $50.0 million and consists of the recognition of the upfront payment we received from Accord in May 2022 pursuant to the Accord License Agreement (see Note 8(C) to our unaudited condensed consolidated financial statements included elsewhere in this Quarterly Report).</w:t>
      </w:r>
    </w:p>
    <w:p>
      <w:pPr>
        <w:spacing w:after="0" w:line="124" w:lineRule="exact"/>
        <w:rPr>
          <w:rFonts w:ascii="Times New Roman" w:cs="Times New Roman" w:eastAsia="Times New Roman" w:hAnsi="Times New Roman"/>
          <w:sz w:val="18"/>
          <w:szCs w:val="18"/>
          <w:b w:val="1"/>
          <w:bCs w:val="1"/>
          <w:i w:val="1"/>
          <w:iCs w:val="1"/>
          <w:color w:val="auto"/>
        </w:rPr>
      </w:pPr>
    </w:p>
    <w:p>
      <w:pPr>
        <w:ind w:left="640" w:right="20" w:hanging="316"/>
        <w:spacing w:after="0" w:line="274" w:lineRule="auto"/>
        <w:tabs>
          <w:tab w:leader="none" w:pos="63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Selling, general, and administrative (“SG&amp;A”) expenses for the three months ended June 30, 2022, were $79.0 million, compared to $61.2 million for the three months ended June 30, 2021.</w:t>
      </w:r>
    </w:p>
    <w:p>
      <w:pPr>
        <w:spacing w:after="0" w:line="110" w:lineRule="exact"/>
        <w:rPr>
          <w:rFonts w:ascii="Times New Roman" w:cs="Times New Roman" w:eastAsia="Times New Roman" w:hAnsi="Times New Roman"/>
          <w:sz w:val="18"/>
          <w:szCs w:val="18"/>
          <w:b w:val="1"/>
          <w:bCs w:val="1"/>
          <w:i w:val="1"/>
          <w:iCs w:val="1"/>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Research and development (“R&amp;D”) expenses for the three months ended June 30, 2022, were $23.9 million, compared to $30.9 million for the three months ended June 30, 2021.</w:t>
      </w:r>
    </w:p>
    <w:p>
      <w:pPr>
        <w:spacing w:after="0" w:line="110" w:lineRule="exact"/>
        <w:rPr>
          <w:rFonts w:ascii="Times New Roman" w:cs="Times New Roman" w:eastAsia="Times New Roman" w:hAnsi="Times New Roman"/>
          <w:sz w:val="18"/>
          <w:szCs w:val="18"/>
          <w:b w:val="1"/>
          <w:bCs w:val="1"/>
          <w:i w:val="1"/>
          <w:iCs w:val="1"/>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loss for the three months ended June 30, 2022, was $21.2 million, or $0.22 per common share, compared to a net loss of $61.7 million, or $0.67 per common share, for the three months ended June 30, 2021.</w:t>
      </w:r>
    </w:p>
    <w:p>
      <w:pPr>
        <w:spacing w:after="0" w:line="110" w:lineRule="exact"/>
        <w:rPr>
          <w:rFonts w:ascii="Times New Roman" w:cs="Times New Roman" w:eastAsia="Times New Roman" w:hAnsi="Times New Roman"/>
          <w:sz w:val="18"/>
          <w:szCs w:val="18"/>
          <w:b w:val="1"/>
          <w:bCs w:val="1"/>
          <w:i w:val="1"/>
          <w:iCs w:val="1"/>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marketable securities were $358.7 million at June 30, 2022, compared to $434.2 million at March 31, 2022.</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See “Results of Operations” below for a discussion of our results of operations for the three months ended June 30, 2022, as compared to the three months ended June 30,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Business Updates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w:t>
      </w:r>
    </w:p>
    <w:p>
      <w:pPr>
        <w:spacing w:after="0" w:line="168" w:lineRule="exact"/>
        <w:rPr>
          <w:sz w:val="20"/>
          <w:szCs w:val="20"/>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the FDA accepted for review a sNDA that proposes updates to MYFEMBREE’s USPI based on 2-year safety and efficacy data from the Phase 3 LIBERTY randomized withdrawal study of MYFEMBREE in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right="20"/>
        <w:spacing w:after="0" w:line="274" w:lineRule="auto"/>
        <w:rPr>
          <w:sz w:val="20"/>
          <w:szCs w:val="20"/>
          <w:color w:val="auto"/>
        </w:rPr>
      </w:pPr>
      <w:r>
        <w:rPr>
          <w:rFonts w:ascii="Times New Roman" w:cs="Times New Roman" w:eastAsia="Times New Roman" w:hAnsi="Times New Roman"/>
          <w:sz w:val="18"/>
          <w:szCs w:val="18"/>
          <w:color w:val="auto"/>
        </w:rPr>
        <w:t>premenopausal women with heavy menstrual bleeding associated with uterine fibroids. The FDA set a target action date of January 29, 2023 for this sNDA.</w:t>
      </w:r>
    </w:p>
    <w:p>
      <w:pPr>
        <w:spacing w:after="0" w:line="110" w:lineRule="exact"/>
        <w:rPr>
          <w:sz w:val="20"/>
          <w:szCs w:val="20"/>
          <w:color w:val="auto"/>
        </w:rPr>
      </w:pPr>
    </w:p>
    <w:p>
      <w:pPr>
        <w:jc w:val="both"/>
        <w:ind w:left="640" w:hanging="316"/>
        <w:spacing w:after="0" w:line="255" w:lineRule="auto"/>
        <w:tabs>
          <w:tab w:leader="none" w:pos="63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FDA provided labeling comments with respect to the MYFEMBREE sNDA for the management of moderate to severe pain associated with endometriosis. FDA decision is expected by the extended PDUFA goal date of August 6, 2022. Approval would trigger a $100.0 million milestone payment from Pfizer. If approved by the PDUFA goal date, we and Pfizer expect to launch MYFEMBREE in the U.S. for this indication in August 2022.</w:t>
      </w:r>
    </w:p>
    <w:p>
      <w:pPr>
        <w:spacing w:after="0" w:line="127" w:lineRule="exact"/>
        <w:rPr>
          <w:rFonts w:ascii="Times New Roman" w:cs="Times New Roman" w:eastAsia="Times New Roman" w:hAnsi="Times New Roman"/>
          <w:sz w:val="18"/>
          <w:szCs w:val="18"/>
          <w:i w:val="1"/>
          <w:iCs w:val="1"/>
          <w:color w:val="auto"/>
        </w:rPr>
      </w:pPr>
    </w:p>
    <w:p>
      <w:pPr>
        <w:jc w:val="both"/>
        <w:ind w:left="640" w:hanging="316"/>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29, 2022, the EC, and on June 17, 2022, the MHRA, approved ORGOVYX as the first and only oral androgen deprivation therapy for advanced hormone-sensitive prostate cancer in the EU and U.K., respectively. We expect our commercialization partner, Accord, to commence the launch of ORGOVYX for the treatment of advanced hormone-sensitive prostate cancer in Europe in the second half of calendar year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Clinical</w:t>
      </w:r>
    </w:p>
    <w:p>
      <w:pPr>
        <w:spacing w:after="0" w:line="168" w:lineRule="exact"/>
        <w:rPr>
          <w:sz w:val="20"/>
          <w:szCs w:val="20"/>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June 2022, we and Pfizer announced that the results of the Phase 3 SPIRIT 1 and SPIRIT 2 studies of once-daily relugolix combination therapy (relugolix 40 mg, estradiol 1.0 mg, and norethindrone acetate 0.5 mg) in women with endometriosis-associated pain were published in </w:t>
      </w:r>
      <w:r>
        <w:rPr>
          <w:rFonts w:ascii="Times New Roman" w:cs="Times New Roman" w:eastAsia="Times New Roman" w:hAnsi="Times New Roman"/>
          <w:sz w:val="18"/>
          <w:szCs w:val="18"/>
          <w:i w:val="1"/>
          <w:iCs w:val="1"/>
          <w:color w:val="auto"/>
        </w:rPr>
        <w:t>The Lancet</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b w:val="1"/>
          <w:bCs w:val="1"/>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data from the SPIRIT 2-year extension study in women with endometriosis were presented at the European Society of Human Reproduction and Embryology (ESHRE) 2022 Annual Meeting in July 2022. The Society recognized the presentation as the best oral presentation of a clinical topic at the ESHRE 2022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Development</w:t>
      </w:r>
    </w:p>
    <w:p>
      <w:pPr>
        <w:spacing w:after="0" w:line="168" w:lineRule="exact"/>
        <w:rPr>
          <w:sz w:val="20"/>
          <w:szCs w:val="20"/>
          <w:color w:val="auto"/>
        </w:rPr>
      </w:pPr>
    </w:p>
    <w:p>
      <w:pPr>
        <w:jc w:val="both"/>
        <w:ind w:left="640" w:hanging="316"/>
        <w:spacing w:after="0" w:line="25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 $50.0 million upfront payment from Accord pursuant to the exclusive license agreement that we entered into with Accord in May 2022 to commercialize ORGOVYX for the treatment of advanced hormone-sensitive prostate cancer in Europe. Additional information about the Accord License Agreement is included in Note 8(C) to our unaudited condensed consolidated financial statements included elsewhere in this Quarterly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Upcoming Milestones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certain of our expected upcoming milestones.</w:t>
      </w:r>
    </w:p>
    <w:p>
      <w:pPr>
        <w:spacing w:after="0" w:line="164" w:lineRule="exact"/>
        <w:rPr>
          <w:sz w:val="20"/>
          <w:szCs w:val="20"/>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expect the FDA decision for the MYFEMBREE sNDA seeking approval for the management of moderate to severe pain associated with endometriosis by its extended PDUFA goal date of August 6, 2022. Approval would trigger a $100.0 million milestone payment from Pfizer. If approved by the PDUFA goal date, we and Pfizer expect to launch MYFEMBREE in the U.S. for this indication in August 2022.</w:t>
      </w:r>
    </w:p>
    <w:p>
      <w:pPr>
        <w:spacing w:after="0" w:line="124" w:lineRule="exact"/>
        <w:rPr>
          <w:rFonts w:ascii="Times New Roman" w:cs="Times New Roman" w:eastAsia="Times New Roman" w:hAnsi="Times New Roman"/>
          <w:sz w:val="18"/>
          <w:szCs w:val="18"/>
          <w:i w:val="1"/>
          <w:iCs w:val="1"/>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European Medicines Agency regulatory submission for RYEQO for the treatment of women with endometriosis-associated pain in the second half of calendar year 2022. Richter will be the sponsor.</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submit New Drug Submissions to Health Canada seeking marketing approval for ORGOVYX for advanced prostate cancer, MYFEMBREE for heavy menstrual bleeding associated with uterine fibroids, and MYFEMBREE for the treatment of endometriosis-associated pain, in Canada in the second half of calendar year 2022.</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commercialization partner, Accord, to commence the launch of ORGOVYX for the treatment of advanced hormone-sensitive prostate cancer in Europe in the second half of calendar year 2022.</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FDA decision for the MYFEMBREE sNDA proposing updates to MYFEMBREE’s USPI based on the safety and efficacy data from the Phase 3 LIBERTY RWS of MYFEMBREE in premenopausal women with heavy menstrual bleeding associated with uterine fibroids for up to two years by the January 29, 2023 PDUFA goal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COVID-19 Pandemic on our Business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continue to closely monitor the impact of the COVID-19 pandemic on all aspects of our business. Our priorities during the COVID-19 pandemic have been to protect the health and safety of our employees, patients and healthcare providers while continuing our mission to redefine care through differentiated solutions in high unmet need areas within women’s health and hormone-sensitive oncology. We believe the safety measures we have taken in response to the COVID-19 pandemic meet or exceed the guidelines established by government and public health officials. Most of our employees worked remotely during much of 2020 and 2021, and many of our employees continue to do so on a part-time or full-time basis, which required us to implement new ways of working and collaborating, including adopting remote working tools to minimize the disruption to our business activities. In April 2022, we reopened our offices, and our employees began to return to work onsite on a voluntary basis with specific safety protocols, including requiring vaccination as a condition of employment, subject to medical and religious exemptions, or as required by law. We have a distributed workforce, and our employees have become accustomed to working remotely and working with others who are working remotely for the past two years. However, as we reopen our offices, we may face operational or other challenges as we and our partners, customers, suppliers, vendors and other parties with whom we do business continue to adjust to a hybrid model of remote and onsite work. These challenges may result in operational inefficiencies, employee dissatisfaction, and distractions to management related to such transition, any of which could harm our business.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Quarterly Report, we do not believe that the COVID-19 pandemic has disproportionately impacted us relative to other companies in which we compete on our ability to advance our clinical studies, our regulatory activities, and our U.S. commercialization activities for ORGOVYX and MYFEMBREE. We and our collaboration partner, Pfizer, commercially launched ORGOVYX and MYFEMBREE in the U.S. in January 2021 and June 2021, respectively. To date, our partner, Richter, has launched RYEQO in a number of countries in Europe.</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believe that the COVID-19 pandemic continues to have an impact on our commercialization activities that is consistent with other companies in our industry. As a result of the COVID-19 pandemic, there have been changes in the practice of medical care and medical education. For example, many healthcare providers initially expanded their utilization of telemedicine to conduct patient visits, and in many regions of the U.S., the ability of commercial and medical affairs field teams to call on healthcare providers was restricted or converted to virtual access. Our oncology sales and medical affairs field teams resumed in-person interactions with healthcare providers in January 2021 and our women’s health sales and medical affairs field teams began in-person interactions with healthcare providers in June 2021. Despite this, some physician’s offices and many hospitals continue to have limited on-site access for pharmaceutical representatives in order to reduce exposure risk for their patients or staff. Conducting these interactions virtually could reduce the number of medical professionals we are able to engage with, limit our ability to engage with important staff members and virtual meetings have been shown to be less impactful than in-person meetings. The cancellation, postponement or virtual formats for medical conferences also limit access to physicians and reduce awareness of information shared at conferences (medical and promotional). In response to the COVID-19 pandemic, healthcare professionals may also reduce staffing and reduce or postpone appointments with patients, or patients may delay, cancel or miss appointments, resulting in fewer prescriptions. Reduced access to healthcare providers may impact or require adjustments to our planned commercialization activities, including the manner in which our field teams engage with healthcare providers and facilities and supplementing field activities with additional marketing spend.</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COVID-19 pandemic has also resulted in fewer opportunities for our medical affairs team to present scientific data as multiple medical conferences were canceled, postponed, or moved to virtual formats during 2020 and 2021, and for our regional medical advisors to engage potential prescribers in scientific exchange. Many conferences are planning to conduct in-person meetings in 2022, while continuing to offer virtual participation as an option. To date, we have not experienced supply constraints, and we believe we have procured sufficient quantities of relugolix drug substance to meet our U.S. ORGOVYX and MYFEMBREE commercialization plans.</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Future developments regarding COVID-19 remain uncertain and the extent to which the COVID-19 pandemic ultimately impacts our business, financial condition or results of operations will depend on numerous factors, including the magnitude and duration of the pandemic, the distribution, acceptance and effectiveness of COVID-19 vaccines and treatments, the impact of new and potentially more virulent or transmissible variants of the coronavirus (e.g., the Delta and Omicron variants, respectively), the duration of governmental measures to mitigate the pandemic and how quickly and to what extent normal economic and operating conditions can resume, all of which remain uncertain and difficult to predict. Additionally, even after normalcy resumes, there will likely be some permanent changes to how healthcare is provided, how healthcare providers engage with our industry and perhaps how conferences are conducted. None of these changes can be anticipated at this point, nor can the potential impact on our business. As such, it is uncertain as to the full magnitude that the COVID-19 pandemic will have on our financial condition, liquidity, and future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Refer to the risk factor titled “Business interruptions resulting from effects of pandemics or epidemics, such as the COVID-19 pandemic, may materially and adversely affect our business and financial condition,” as well as other risk factors included in the section titled “Risk Factors” set forth in Part II. Item 1A of this Quarterly Report.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Russian Federation-Ukraine Conflict on our Business</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uncertain nature, magnitude, and duration of hostilities stemming from the conflict in Ukraine, including the potential effects of sanctions, retaliatory cyber-attacks on the world economy and markets, and potential shipping delays, have contributed to increased market volatility and uncertainty, which could have an adverse impact on macroeconomic factors that affect our business. As a result of the conflict in Ukraine, the U.S., U.K., and the EU governments, among others, have developed and coordinated economic and financial sanctions. As the conflict in Ukraine continues, there is no certainty regarding whether such governments or other governments will impose additional sanctions, or other economic or military measures against the Russian Federation.</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impact of the conflict in Ukraine, including economic sanctions or additional war or military conflict, as well as potential responses to them by the Russian Federation, is currently unknown and they could adversely affect our business, supply chain, clinical studies, suppliers or customers. In addition, the continuation of the conflict in Ukraine by the Russian Federation could lead to other disruptions, instability and volatility in global markets and industries that could negatively impact our operations. It is not possible to predict the broader consequences of this conflict, which could include further sanctions, embargoes, regional instability, geopolitical shifts and adverse effects on macroeconomic conditions, the availability and cost of raw materials and fuel, supplies, freight and labor, inflation, and fluctuations in currency exchange rates, all of which could impact our business, financial condition and results of operations.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the risk factor titled “The conflict between the Russian Federation and Ukraine and other government policies and actions could negatively affect our clinical trial sites in Ukraine. We and/or our collaboration or commercialization partners may not be able to launch our commercial products in the Russian Federation, Ukraine or other regions which may negatively affect our financial results. The uncertain nature, magnitude, and duration of hostilities stemming from such conflict may result in changes in the world’s macroeconomic conditions which negatively affect our business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Components of our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two FDA-approved products that generate product revenue in the U.S: ORGOVYX and MYFEMBREE. We record product revenue net of estimated discounts, chargebacks, rebates, product returns, and other gross-to-net revenue deductions. For the three months ended June 30, 2022, the gross-to-net deduction for ORGOVYX was approximately 44.5%, and we expect it to be in the low-to-mid 40%’s for the remainder of fiscal year 2022. Product revenue, net also includes revenues related to product supply to Richter as well as royalties on net sales of RYEQO in Richter’s Territory.</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Pfizer collaboration revenue consists of the partial recognition of the upfront payment we received from Pfizer upon entering into the Pfizer Collaboration and License Agreement in December 2020 and of the regulatory milestone payment from Pfizer that was triggered upon the FDA approval of MYFEMBREE for the management of heavy menstrual bleeding associated with uterine fibroids on May 26, 2021.</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Our Accord license revenue consists of the recognition of the upfront payment we received from Accord in May 2022 pursuant to the Accord License Agreement. We recognized the upfront payment as revenue upon delivery of the license to Accord during the three months ended June 30, 2022.</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Note 8 to our unaudited condensed consolidated financial statements included elsewhere in this Quarterly Report for additional information regarding the Pfizer Collaboration and License Agreement and the Accord License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Our cost of product revenue is composed of the cost of goods sold and royalty expense payable to Takeda. Our cost of goods sold consists of raw materials, third-party manufacturing costs to manufacture the raw materials into finished product, freight, and indirect overhead costs associated with sales of ORGOVYX and MYFEMBREE in the U.S. and sales of product supply to Richter. The cost of inventories written down as a result of excess, obsolescence, or other reasons is also charged to cost of goods sold. Our royalty expense consists of royalties on net sales of relugolix payable to Takeda pursuant to the terms of the Takeda License Agreement (see Note 9(D) to our unaudited condensed consolidated financial statements included elsewhere in this Quarterly Report).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Expense to Pfizer</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collaboration expense to Pfizer consists of Pfizer’s 50% share of net profits from sales of ORGOVYX and MYFEMBREE in the U.S. (see Note 8(B) to our unaudited condensed consolidated financial statements included elsewhere in this Quarterly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SG&amp;A expenses consist primarily of personnel costs, including salaries, sales incentive compensation, bonuses, fringe benefits, and share-based compensation for our executive, finance, human resources, legal, information technology, commercial operations, marketing, market access, sales, and other administrative functions. Our SG&amp;A expenses also include marketing programs, patient assistance and support programs for qualified uninsured and underinsured patients, promotion and advertising, conferences, congresses, travel expenses, professional fees for legal, business development, accounting, auditing and tax services, and costs related to rent and facilities, insurance, information technology, commercial operations, and general overhead. Our SG&amp;A expenses also include related party expenses pursuant to our agreements with Sunovion and Sumitovant (see Note 5 to our unaudited condensed consolidated financial statements included elsewhere in this Quarterly Report).</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SG&amp;A expenses in future quarters of fiscal year 2022 are expected to be higher than the first quarter of fiscal year 2022 driven largely by marketing and promotional expenses to support the ongoing commercialization of ORGOVYX and MYFEMBREE in the U.S., including annualization of the MYFEMBREE marketing and promotional spend and targeted patient activation primarily for MYFEMBREE. The timing and magnitude of our SG&amp;A expenses are primarily dependent on our commercial success and sales growth of ORGOVYX and MYFEMBREE, as well as the timing of any new indications or product launches and other potential business and operational activities. We expect that certain SG&amp;A expenses will be shared equally with Pfizer pursuant to the Pfizer Collaboration and License Agreement (see Note 8(B) to our unaudited condensed consolidated financial statements included elsewhere in this Quarterly Report).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R&amp;D activities have been, and will continue to be, central to our business model. Our R&amp;D expenses to date have been primarily attributable to the clinical development of our product candidates including the conduct of multiple Phase 3 and earlier clinical studies, the expansion of our team, and the initiation of activities in preparation for our anticipated commercial launches such as the establishment of our medical affairs function, as well as regulatory and certain manufacturing activities. Our R&amp;D expenses include program-specific costs, as well as costs that are not allocated to a specific program.</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program-specific costs primarily include third-party costs, which include expenses incurred under agreements with CROs and CMOs, the cost of consultants who assist with the development of our product candidates on a program-specific basis, investigator grants, sponsored research, manufacturing costs in connection with producing materials for use in conducting nonclinical and clinical studies, as well as costs related to pre-commercial manufacturing activities and regulatory submissions, and other third-party expenses directly attributable to the development of our product candidates.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unallocated R&amp;D costs primarily include employee-related expenses, such as salaries, share-based compensation, fringe benefits and travel for employees engaged in R&amp;D activities including clinical operations, biostatistics, regulatory, and medical affairs, and the cost of contractors and consultants who assist with R&amp;D activities not specific to a program, and costs associated with nonclinical studies.</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duration, costs and timing of clinical studies and development of our product candidates will depend on a variety of factors that include, but are not limited to: the number of studies required for approval; the per patient study costs; the number of patients who participate in the studies; the number of sites included in the studies; the countries in which the studies are conducted; the length of time required to recruit and enroll eligible patients; the number of patients who fail to meet the study’s inclusion and exclusion criteria; the number of study drug doses that patients receive; the drop-out or discontinuation rates of patients; the potential additional safety monitoring or other studies requested by regulatory agencies; the duration of patient follow-up; the timing and receipt of regulatory approvals; the costs of clinical study materials; and the efficacy and safety profile of the product candidate.</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the probability of commercial success for ORGOVYX, MYFEMBREE or for any of our current or potential future product candidates, if approved, will depend on numerous factors, including competition, manufacturing capability and commercial viability. Our R&amp;D activities may be subject to change from time to time as we evaluate our priorities and available resources.</w:t>
      </w:r>
    </w:p>
    <w:p>
      <w:pPr>
        <w:spacing w:after="0" w:line="2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expect our R&amp;D expenses in the future quarters of fiscal year 2022 to be higher than the first quarter of fiscal year 2022, driven largely by spending on relugolix lifecycle opportunities, such as the Phase 3 SERENE study, as well as on post-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marketing requirements as agreed upon with the FDA. We expect that certain R&amp;D expenses will be shared equally with Pfizer pursuant to the Pfizer Collaboration and License Agreement (see Note 8(B) to our unaudited condensed consolidated financial statements included elsewhere in this Quarterly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interest expense consists of related party interest expense pursuant to the Sumitomo Pharma Loan Agreement, which bears interest at a variable rate per annum equal to 3-month London Interbank Offered Rate (“LIBOR”) plus a margin of 3% payable on the last day of each calendar quarter (see Note 5 to our unaudited condensed consolidated financial statements included elsewhere in this Quarterly Report), and the accretion of the financing component of the cost share advance from Pfizer (see Note 8(B) to our unaudited condensed consolidated financial statements included elsewhere in this Quarterly Report). Fluctuations in 3-month LIBOR could negatively impact our financial results.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interest income consists primarily of interest earned and the accretion of discounts to maturity for cash equivalents and marketable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income tax expense currently is primarily attributable to U.S. federal, state and local taxes. For the three months ended June 30, 2022, our income tax expense reflects the changed requirement under Internal Revenue Code Section 174 to capitalize and subsequently amortize over 5 years R&amp;D expenditures, pursuant to changes made to Internal Revenue Code Section 174 effective for years beginning after December 31, 2021, under the Tax Cuts and Jobs Act 2017 (“TCJA”). Previously, section 174 allowed for immediate expensing for accounting periods beginning before December 31, 2021. Although it is understood that Congress is considering legislation that would extend the TCJA relief by one or more years, the possibility that this will happen is uncertain and we are required to calculate our income tax liabilities based on the provisions of current law. We expect our total tax expense for fiscal 2022 to be approximately $23.0 million to $25.0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2022 and 2021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740" w:type="dxa"/>
            <w:vAlign w:val="bottom"/>
            <w:gridSpan w:val="4"/>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6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4680" w:type="dxa"/>
            <w:vAlign w:val="bottom"/>
            <w:gridSpan w:val="2"/>
          </w:tcPr>
          <w:p>
            <w:pPr>
              <w:jc w:val="right"/>
              <w:ind w:right="80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41,351</w:t>
            </w:r>
          </w:p>
        </w:tc>
        <w:tc>
          <w:tcPr>
            <w:tcW w:w="100" w:type="dxa"/>
            <w:vAlign w:val="bottom"/>
          </w:tcPr>
          <w:p>
            <w:pPr>
              <w:spacing w:after="0"/>
              <w:rPr>
                <w:sz w:val="19"/>
                <w:szCs w:val="19"/>
                <w:color w:val="auto"/>
              </w:rPr>
            </w:pPr>
          </w:p>
        </w:tc>
        <w:tc>
          <w:tcPr>
            <w:tcW w:w="98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Pfizer collaboration revenue</w:t>
            </w:r>
          </w:p>
        </w:tc>
        <w:tc>
          <w:tcPr>
            <w:tcW w:w="36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29,509</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Accord license revenue</w:t>
            </w:r>
          </w:p>
        </w:tc>
        <w:tc>
          <w:tcPr>
            <w:tcW w:w="36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6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116,492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41,063</w:t>
            </w:r>
          </w:p>
        </w:tc>
        <w:tc>
          <w:tcPr>
            <w:tcW w:w="0" w:type="dxa"/>
            <w:vAlign w:val="bottom"/>
          </w:tcPr>
          <w:p>
            <w:pPr>
              <w:spacing w:after="0"/>
              <w:rPr>
                <w:sz w:val="1"/>
                <w:szCs w:val="1"/>
                <w:color w:val="auto"/>
              </w:rPr>
            </w:pPr>
          </w:p>
        </w:tc>
      </w:tr>
      <w:tr>
        <w:trPr>
          <w:trHeight w:val="205"/>
        </w:trPr>
        <w:tc>
          <w:tcPr>
            <w:tcW w:w="4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costs and expenses:</w:t>
            </w:r>
          </w:p>
        </w:tc>
        <w:tc>
          <w:tcPr>
            <w:tcW w:w="3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36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25"/>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expense to Pfizer</w:t>
            </w:r>
          </w:p>
        </w:tc>
        <w:tc>
          <w:tcPr>
            <w:tcW w:w="3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61,212</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30,880</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6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125,853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98,385</w:t>
            </w:r>
          </w:p>
        </w:tc>
        <w:tc>
          <w:tcPr>
            <w:tcW w:w="0" w:type="dxa"/>
            <w:vAlign w:val="bottom"/>
          </w:tcPr>
          <w:p>
            <w:pPr>
              <w:spacing w:after="0"/>
              <w:rPr>
                <w:sz w:val="1"/>
                <w:szCs w:val="1"/>
                <w:color w:val="auto"/>
              </w:rPr>
            </w:pPr>
          </w:p>
        </w:tc>
      </w:tr>
      <w:tr>
        <w:trPr>
          <w:trHeight w:val="21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(57,322)</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(13,075)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(21,239)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032"/>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41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16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revenues for the three months ended June 30, 2022 and 2021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780" w:type="dxa"/>
            <w:vAlign w:val="bottom"/>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r>
      <w:tr>
        <w:trPr>
          <w:trHeight w:val="24"/>
        </w:trPr>
        <w:tc>
          <w:tcPr>
            <w:tcW w:w="78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5"/>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ORGOVYX</w:t>
            </w:r>
          </w:p>
        </w:tc>
        <w:tc>
          <w:tcPr>
            <w:tcW w:w="100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r>
      <w:tr>
        <w:trPr>
          <w:trHeight w:val="225"/>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MYFEMBREE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5"/>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Richter product supply and royalties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Pfizer collaboration revenue: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5"/>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upfront payment</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20,974</w:t>
            </w:r>
          </w:p>
        </w:tc>
      </w:tr>
      <w:tr>
        <w:trPr>
          <w:trHeight w:val="225"/>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regulatory milestone</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w:t>
            </w:r>
          </w:p>
        </w:tc>
      </w:tr>
      <w:tr>
        <w:trPr>
          <w:trHeight w:val="218"/>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Pfizer collaboration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w:t>
            </w: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Accord license revenue</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116,492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41,063</w:t>
            </w:r>
          </w:p>
        </w:tc>
      </w:tr>
      <w:tr>
        <w:trPr>
          <w:trHeight w:val="20"/>
        </w:trPr>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 Revenue, net</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began generating product revenue from sales of ORGOVYX and MYFEMBREE in the U.S. in January 2021 and June 2021, respectively. We record product revenue net of estimated discounts, chargebacks, rebates, product returns, and other gross-to-net revenue deductions.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June 30, 2022, product revenue, net also includes revenues related to product supply to Richter to support their European launches of RYEQO of $1.1 million, as well as royalties on net sales of RYEQO in Richter’s Territory of $0.2 million. There were no such revenues recorded in the three months ended June 30, 2021.</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June 30, 2022, compared to the year ago period, product revenue, net increased by $29.8 million primarily as a result of higher sales of ORGOVYX and MYFEMBREE in the U.S.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Pfizer Collaboration Revenue</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Pfizer collaboration revenue for the three months ended June 30, 2022 and 2021 consists of the partial recognition of the upfront payment we received from Pfizer upon entering into the Pfizer Collaboration and License Agreement in December 2020 and of the regulatory milestone payment from Pfizer that was triggered upon the FDA approval of MYFEMBREE for the management of heavy menstrual bleeding associated with uterine fibroids on May 26,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Accord License Revenue</w:t>
      </w:r>
    </w:p>
    <w:p>
      <w:pPr>
        <w:spacing w:after="0" w:line="16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Accord license revenue for the three months ended June 30, 2022 consists of the recognition of the upfront payment we received from Accord in May 2022 pursuant to the Accord License Agreement. There was no Accord license revenue for the three months ended June 30,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June 30, 2022, our cost of product revenue was $4.9 million, consisting of $1.8 million of cost of goods sold and $3.1 million of royalty expense to Takeda. The $3.9 million increase in our cost of product revenue for the three months ended June 30, 2022, compared to the year ago period, was due to increases in cost of goods sold and royalty expense to Takeda as a result of higher sales of ORGOVYX and MYFEMBREE in the U.S. during the three months ended June 30, 2022, and sales of product supply to Richter, for which there were no such sales in the year ago period.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Expense to Pfizer</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June 30, 2022, and 2021, our collaboration expense to Pfizer was $18.0 million and $5.3 million, respectively, and represents Pfizer’s 50% share of net profits from the sales of ORGOVYX and MYFEMBREE in the U.S. Collaboration expense to Pfizer increased by approximately $12.7 million for the three months ended June 30, 2022, compared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20"/>
        <w:spacing w:after="0" w:line="430" w:lineRule="auto"/>
        <w:rPr>
          <w:sz w:val="20"/>
          <w:szCs w:val="20"/>
          <w:color w:val="auto"/>
        </w:rPr>
      </w:pPr>
      <w:r>
        <w:rPr>
          <w:rFonts w:ascii="Times New Roman" w:cs="Times New Roman" w:eastAsia="Times New Roman" w:hAnsi="Times New Roman"/>
          <w:sz w:val="18"/>
          <w:szCs w:val="18"/>
          <w:color w:val="auto"/>
        </w:rPr>
        <w:t xml:space="preserve">to the year ago period, primarily due to an increase in net profits generated from sales of ORGOVYX and MYFEMBREE in the U.S. </w:t>
      </w:r>
      <w:r>
        <w:rPr>
          <w:rFonts w:ascii="Times New Roman" w:cs="Times New Roman" w:eastAsia="Times New Roman" w:hAnsi="Times New Roman"/>
          <w:sz w:val="18"/>
          <w:szCs w:val="18"/>
          <w:b w:val="1"/>
          <w:bCs w:val="1"/>
          <w:i w:val="1"/>
          <w:iCs w:val="1"/>
          <w:color w:val="auto"/>
        </w:rPr>
        <w:t>Selling, General and Administrative Expenses</w:t>
      </w:r>
    </w:p>
    <w:p>
      <w:pPr>
        <w:spacing w:after="0"/>
        <w:rPr>
          <w:sz w:val="20"/>
          <w:szCs w:val="20"/>
          <w:color w:val="auto"/>
        </w:rPr>
      </w:pPr>
      <w:r>
        <w:rPr>
          <w:rFonts w:ascii="Times New Roman" w:cs="Times New Roman" w:eastAsia="Times New Roman" w:hAnsi="Times New Roman"/>
          <w:sz w:val="18"/>
          <w:szCs w:val="18"/>
          <w:color w:val="auto"/>
        </w:rPr>
        <w:t>SG&amp;A expenses increased by $17.8 million, to $79.0 million, in the three months ended June 30, 2022 compared to $61.2 million in the year ago period.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are presented net of cost sharing with Pfizer pursuant to the terms of the Pfizer Collaboration and License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components of the $17.8 million net increase in SG&amp;A expenses include the following:</w:t>
      </w:r>
    </w:p>
    <w:p>
      <w:pPr>
        <w:spacing w:after="0" w:line="164" w:lineRule="exact"/>
        <w:rPr>
          <w:sz w:val="20"/>
          <w:szCs w:val="20"/>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million increase in commercialization expenses, net of cost sharing with Pfizer, to support our U.S. commercialization activities for ORGOVYX and MYFEMBREE;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million increase in personnel expenses, including personnel expenses related to our oncology and women’s health sales forces;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increase in general overhead, administrative, information technology, and other expenses to support our organizational growth, as well as a banker fee associated with the Accord License Agreement;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decrease in share-based compensation, as the three months ended June 30, 2021 included approximately $1.4 million related to the settlement and remeasurement of our former Principal Executive Officer’s equity awards (see Note 7(C) to our unaudited condensed consolidated financial statements included elsewhere in this Quarterly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2022 and 2021, our R&amp;D expenses consisted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Program-specific costs: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Relugolix</w:t>
            </w:r>
          </w:p>
        </w:tc>
        <w:tc>
          <w:tcPr>
            <w:tcW w:w="860" w:type="dxa"/>
            <w:vAlign w:val="bottom"/>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9"/>
                <w:szCs w:val="19"/>
                <w:color w:val="auto"/>
              </w:rPr>
            </w:pPr>
          </w:p>
        </w:tc>
        <w:tc>
          <w:tcPr>
            <w:tcW w:w="86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MVT-602</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Unallocated costs: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Personnel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16,650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14,764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25"/>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19"/>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8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23,890</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30,880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R&amp;D expenses decreased by $7.0 million, to $23.9 million, in the three months ended June 30, 2022, compared to $30.9 million in the three months ended June 30, 2021. The decrease primarily reflects a reduction in clinical study costs due to the completion and wind down of our Phase 3 LIBERTY, HERO, and SPIRIT studies.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Interest expense was $4.2 million and $3.5 million for the three months ended June 30, 2022, and 2021, respectively, and consists of interest expense associated with the Sumitomo Pharma Loan Agreement and accretion of the financing component of the cost share advance from Pfizer. Interest expense associated with the Sumitomo Pharma Loan Agreement increased $0.7 million to $3.6 million in the three months ended June 30, 2022 compared to $2.9 million in the year ago period, as a result of an increase in 3-month LIBOR as compared to the year ago period. Accretion of the financing component of the cost share advance from Pfizer was $0.6 million for both the three months ended June 30, 2022 and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Interest income was $0.5 million and $0.1 million for the three months ended June 30, 2022, and 2021, respectively, derived from our investments in marketable securities and cash equivalents.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income tax expense was $8.2 million and $0.9 million for the three months ended June 30, 2022, and 2021, respectively. Our effective tax rate for the three months ended June 30, 2022, and 2021 was (62.44)% and (1.50)%, respectively. Key determinative factors of our effective tax rate include the allocation of our earnings by jurisdiction and a valuation allowance that currently eliminates all of our net deferred tax assets.</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change in our effective tax rate for the three months ended June 30, 2022, compared to the corresponding prior year period was driven primarily by the changed requirement under Internal Revenue Code Section 174 to capitalize and subsequently amortize over 5 years R&amp;D expenditures, pursuant to changes made to Internal Revenue Code Section 174 effective for years beginning after December 31, 2021, under the Tax Cuts and Jobs Act 2017, in combination with our current policy to make a full valuation allowance for our deferred tax assets (see Note 6 to our unaudited condensed consolidated financial statements included elsewhere in this Quarterly Report).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have incurred losses since our inception and have an accumulated deficit of $1.27 billion as of June 30, 2022, compared to $1.25 billion as of March 31,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from the issuance and sale of our common shares, from debt financing arrangements, and more recently from upfront and milestone payments we have received from our collaboration and commercialization partners, as well as net revenues generated from sales of ORGOVYX and MYFEMBREE in the U.S.</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of June 30, 2022, we had cash, cash equivalents, marketable securities, and amounts available to us under the Sumitomo Pharma Loan Agreement of $400.0 million, consisting of $358.7 million of cash, cash equivalents, and marketable securities and $41.3 million of borrowing capacity available to us under the Sumitomo Pharma Loan Agreement. Cash, cash equivalents, marketable securities, and amounts available to us under the Sumitomo Pharma Loan Agreement as of March 31, 2022 was $475.5 million, consisting of $434.2 million of cash, cash equivalents, and marketable securities and $41.3 million of borrowing capacity available to us under the Sumitomo Pharma Loan Agreement. Additional funds under the Sumitomo Pharma Loan Agreement may be drawn down by us no more than once per calendar quarter, subject to certain terms and conditions, including consent of our board of directors.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eligible to earn additional payments from our collaboration and commercialization partners, including:</w:t>
      </w:r>
    </w:p>
    <w:p>
      <w:pPr>
        <w:spacing w:after="0" w:line="164" w:lineRule="exact"/>
        <w:rPr>
          <w:sz w:val="20"/>
          <w:szCs w:val="20"/>
          <w:color w:val="auto"/>
        </w:rPr>
      </w:pPr>
    </w:p>
    <w:p>
      <w:pPr>
        <w:jc w:val="both"/>
        <w:ind w:left="640" w:hanging="316"/>
        <w:spacing w:after="0" w:line="25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$3.6 billion of milestone payments from Pfizer, including a regulatory milestone of $100.0 million upon the FDA approval of MYFEMBREE for endometriosis, and tiered sales milestones of up to $3.5 billion upon reaching certain thresholds of annual net sales for oncology and the combined women’s health indications in the Co-Promotion Territory. We and Pfizer equally share profits and certain expenses in the Co-Promotion Territory;</w:t>
      </w:r>
    </w:p>
    <w:p>
      <w:pPr>
        <w:spacing w:after="0" w:line="12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$122.5 million of milestone payments, including regulatory milestones of up to $15.0 million and tiered sales milestones of up to $107.5 million upon reaching certain thresholds of annual net sales in Richter’s Territory, and tiered royalties on net sales in Richter’s Territory; and</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$90.5 million of commercial launch, sales-based, and other milestones and tiered royalties from the high-teens to mid-twenties on net sales of ORGOVYX in Accord’s territories.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be sufficient to fund our anticipated operating expenses and capital expenditure requirements for at least the next 12 months from the date of issuance of this Quarterly Report. This estimate is based on our current assumptions, including assumptions related to our ability to manage our spend, that might prove to be wrong, and we could use our available capital resources sooner than we currently expect. In future periods, if our cash, cash equivalents, marketable securities, and amounts that we expect to generate from product sales and/or third-party collaboration payments, are not sufficient to enable us to fund our operations, we may need to raise additional funds in the form of equity, debt, or from other sources. In addition, we may choose to raise additional funds in the form of equity,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debt, or from other sources due to market conditions or strategic considerations even if we believe we have sufficient funds for our current and future operating plans. To the extent that we raise additional capital through the sale of equity or convertible debt securities, our common shareholders’ ownership interest may experience substantial dilution, and the terms of these securities may include liquidation or other preferences that adversely affect our common shareholders’ rights. The Sumitomo Pharma Loan Agreement involves, and any agreements for future debt or preferred equity financings, if available, may involve, covenants limiting or restricting our ability to take specific actions, such as incurring additional debt, raising capital through equity offerings, making capital expenditures or declaring dividends.</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operating expenses, net of costs that are expected to be shared with Pfizer pursuant to the Pfizer Collaboration and License Agreement, to increase as we continue to commercialize ORGOVYX and MYFEMBREE in the U.S., prepare for additional potential regulatory approvals, initiate life cycle management activities as well as conduct post-marketing requirements as agreed upon with the FDA for our relugolix franchise, and potentially further develop our product candidates and expand our pipeline. However, while we expect our future capital requirements and operating expenses to continue to be significant, we expect our net cash burn to gradually decrease as our net product revenues increase. Our operating expenses and operating cash flows may fluctuate significantly from quarter-to-quarter and year-to-year and our future funding requirements, both near and long-term, will depend on many factors, including, but not limited to:</w:t>
      </w:r>
    </w:p>
    <w:p>
      <w:pPr>
        <w:spacing w:after="0" w:line="134" w:lineRule="exact"/>
        <w:rPr>
          <w:sz w:val="20"/>
          <w:szCs w:val="20"/>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level of demand and net product revenues generated from commercial sales of our drug products and from any product candidates that may receive marketing approval in the future;</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regulatory milestones, commercial launch milestones, sales milestones, or other milestones, and/or royalties that we are eligible to earn pursuant to our collaboration or commercialization agreements;</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shared costs, and level of investment in our and our collaboration and commercialization partners’ activities related to sales, marketing, market access, manufacturing, and distribution for our drug products and for any product candidates that may receive marketing approval in the future;</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shared costs, and level of investment in our and our collaboration partners’ research and development activities involving ORGOVYX, MYFEMBREE, RYEQO, and any product candidates;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timing, and outcomes of regulatory submissions and regulatory reviews of our product candidates;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expand our chemistry, manufacturing, and control and other manufacturing related activities;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identify, acquire, develop, and commercialize additional product candidates;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integrate acquired technologies into a comprehensive regulatory and product development strategy;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maintain, expand, and protect our patent claims and other intellectual property rights;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hire additional commercial operations, sales and marketing, scientific, clinical, regulatory, quality, and other personnel to support our commercialization, sales and marketing, regulatory, and clinical development efforts;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implement or enhance operational, accounting, finance, quality, commercial, and management information systems;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service our debt obligations and associated interest payments;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over which we have no control, including changes in inflation, interest rates, foreign currency rates, and the potential effect of such factors on revenues and expenses;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operate as a public company.</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positive cash flows as a result of increased sales of ORGOVYX, MYFEMBREE, or any product candidate, we expect to fund our operations through a combination of cash, cash equivalents, and marketable securities currently on hand and amounts available to us under the Sumitomo Pharma Loan Agreement, subject to the consent of our board of directors, as well as potential payments we are eligible to receive from Pfizer, Richter, and Accord pursuant to the terms of our agreements with them.</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three months ended June 30, 2022, and 2021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400" w:type="dxa"/>
            <w:vAlign w:val="bottom"/>
            <w:gridSpan w:val="5"/>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4"/>
        </w:trPr>
        <w:tc>
          <w:tcPr>
            <w:tcW w:w="78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(76,005)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(113,177)</w:t>
            </w: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(74,391)</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Activities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Net cash used in operating activities was $76.0 million for the three months ended June 30, 2022, and consisted of our net loss of $21.2 million (see “Results of Operations” above) and changes in operating assets and liabilities of $65.8 million (see below), partially offset by adjustments for non-cash operating items of $11.1 million. The non-cash operating items included share-based compensation of $9.7 million, accretion of the implied financing component of the cost share advance from Pfizer of $0.6 million, amortization of operating lease right of use asset of $0.5 million, and depreciation expense of $0.3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included the following:</w:t>
      </w:r>
    </w:p>
    <w:p>
      <w:pPr>
        <w:spacing w:after="0" w:line="164" w:lineRule="exact"/>
        <w:rPr>
          <w:sz w:val="20"/>
          <w:szCs w:val="20"/>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 million decrease in cost share advance from Pfizer due to the application of shared Allowable Expenses (see Note 8(B) and Note 8(D) to our unaudited condensed consolidated financial statements included elsewhere in this Quarterly Report);</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 million decrease in deferred revenue as a result of the recognition of $25.1 million of Pfizer collaboration revenue (see Note 8 to our unaudited condensed consolidated financial statements included elsewhere in this Quarterly Report);</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 million increase in inventories, primarily related to an increase in raw materials and work in process inventories, partially offset by a decrease in finished goods inventories;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million increase in amounts due to Pfizer as a result of an increase in profit share and reimbursement of Allowable Expenses incurred by Pfizer (see Note 8(B) to our unaudited condensed consolidated financial statements included elsewhere in this Quarterly Report);</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million increase in accounts receivable, net as a result of an increase in net product revenues related to sales of ORGOVYX and MYFEMBREE in the U.S.;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decrease in prepaid expenses and other current assets primarily due to decreases in prepayments related to commercial manufacturing activities, partially offset by increases in other prepaid insurance and clinical study costs;</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decrease in accrued expenses and other current liabilities, primarily driven by decreases in accrued compensation-related expenses as a result of the payment of annual corporate bonuses in the three months ended June 30, 2022 and accrued commercial expenses, partially offset by increases in accrued discounts, rebates, and allowances due to an increase in product revenue, net, and accrued income tax payable (see Note 6 to our unaudited condensed consolidated financial statements included elsewhere in this Quarterly Report); and</w:t>
      </w:r>
    </w:p>
    <w:p>
      <w:pPr>
        <w:spacing w:after="0" w:line="12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decrease in accounts payable, primarily driven by the timing of vendor invoice payments.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$113.2 million for the three months ended June 30, 2021, and consisted of our net loss of $61.7 million and changes in operating assets and liabilities of $64.1 million, partially offset by adjustments for non-cash operating items of $12.6 million. The non-cash operating items included share-based compensation of $11.3 million, accretion of the implied financing component of the cost share advance from Pfizer of $0.6 million, amortization of operating lease right of use asset of $0.4 million, and depreciation expense of $0.3 million.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included the following:</w:t>
      </w:r>
    </w:p>
    <w:p>
      <w:pPr>
        <w:spacing w:after="0" w:line="164" w:lineRule="exact"/>
        <w:rPr>
          <w:sz w:val="20"/>
          <w:szCs w:val="20"/>
          <w:color w:val="auto"/>
        </w:rPr>
      </w:pPr>
    </w:p>
    <w:p>
      <w:pPr>
        <w:ind w:left="6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increase in milestone receivable from Pfizer that was triggered upon the FDA approval of MYFEMBREE for the uterine fibroids indication;</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$70.5 million net increase in deferred revenue as a result of a $100.0 million regulatory milestone payment from Pfizer partially offset by the recognition of $29.5 million of Pfizer collaboration revenue (see Note 8 to our unaudited condensed consolidated financial statements included elsewhere in this Quarterly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 million decrease in cost share advance from Pfizer due to the application of shared Allowable Expenses (see Note 8(B) and Note 8(D) to our unaudited condensed consolidated financial statements included elsewhere in this Quarterly Report);</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million increase in amounts due to Pfizer as a result of an increase in profit share and reimbursement of Allowable Expenses incurred by Pfizer (see Note 8(B) to our unaudited condensed consolidated financial statements included elsewhere in this Quarterly Report);</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million decrease in accounts payable, primarily driven by the timing of vendor invoice payments;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increase in accounts receivable as a result of an increase in net product revenue;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million net change in other operating assets and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Investing Activities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June 30, 2022, we used $5.7 million of cash in investing activities, which was primarily for the purchase of marketable securities, net of maturities.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June 30, 2021, we used $74.4 million of cash in investing activities, which was for the purchases of marketable securities, net of maturities.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Financing Activities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June 30, 2022, $1.2 million of cash was provided by financing activities, which was from proceeds from the exercise of stock options.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June 30, 2021, $4.1 million of cash was provided by financing activities, which was from proceeds from the exercise of stock options.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Cash Needs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three months ended June 30, 2022, there have been no material changes outside the ordinary course of business to our contractual obligations and other cash needs as described in “Management’s Discussion and Analysis of Financial Condition and Results of Operations” in our Annual Report for the year ended March 31, 2022.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and related notes requires us to make estimates, judgments and assumptions that affect the reported amounts of assets, liabilities, revenues and expenses, and disclosures of contingent liabilities. We have based our estimates on historical experience and on various other assumptions that we believe to be reasonable under the circumstances. Management periodically reviews our estimates and makes adjustments when facts and circumstances dictate. To the extent there are material differences between these estimates and actual results, our financial condition or results of operations will be affected. Changes in estimates and assumptions are reflected in reported results in the period in which they become known.</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critical accounting policies are more fully described in “Critical Accounting Policies and Significant Judgments and Estimates” in Part II. Item 7. “Management’s Discussion and Analysis of Financial Condition and Results of Operations” in our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Annual Report for the fiscal year ended March 31, 2022, filed with the SEC on May 11, 2022. We believe there have been no material changes to our critical accounting policies and use of estimates as disclosed in our Annual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information regarding the impact of recently adopted accounting pronouncements and the expected impact of recently issued accounting pronouncements not yet adopted on our consolidated financial statements, see Note 1 to our unaudited condensed consolidated financial statements included elsewhere in this Quarterly Report.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activities can expose us to market risks which include interest rate risk, inflation risk, and credit risk. Risk management is carried out by our management under policies approved by our Board of Directors, with oversight provided by the Audit Committee of our Board of Directors. Our overall risk management program seeks to minimize adverse effects on our financial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with respect to our variable rate debt. As of June 30, 2022, we had an outstanding loan balance of $358.7 million under the Sumitomo Pharma Loan Agreement that bears interest at a variable rate per annum equal to 3-month LIBOR plus a margin of 3%. We currently do not engage in any hedging activities against changes in interest rates. A hypothetical 100 basis point increase in 3-month LIBOR would result in a $0.9 million quarterly increase in interest expense, based on the outstanding balance under the Sumitomo Pharma Loan Agreement as of June 30, 2022.</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U.K Financial Conduct Authority (the authority that regulates LIBOR) has announced that 3-month LIBOR will cease publication after June 30, 2023. When the publication of 3-month LIBOR is discontinued, we will need to agree with Sumitomo Pharma on a new method of calculating the interest rate under the Sumitomo Pharma Loan Agreement. Changes in the method of calculating LIBOR, or the replacement of LIBOR with an alternative rate or benchmark, may adversely affect interest rates and result in higher borrowing costs. This could adversely affect our results of operations, cash flows and liquidity. We cannot predict the effect of the 3-month LIBOR replacement benchmark rate at this time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recent months, inflation has continued to increase significantly in the U.S. and overseas resulting in rising transportation, wages, and other costs. Inflation may generally affect us by increasing our cost of labor, commercial support, manufacturing and clinical trial expenditures. Although we do not believe that inflation has had a material impact on our financial position or results of operations to date, if our costs become subject to significant inflationary pressures, we may not be able to fully offset such higher costs with increased revenues. Our inability or failure to do so could harm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concentrations of credit risk include cash, cash equivalents, and marketable securities. We are exposed to credit risk in the event of default by the financial institutions holding our cash and the issuers of our cash equivalents and marketable securities. We maintain our cash deposits and cash equivalents in highly-rated, federally-insured financial institutions in excess of federally insured limits. We have established guidelines relative to diversification and maturities of investments to maintain safety and liquidity. We have not historically experienced any significant credit losses related to these financial instruments and do not believe that we are exposed to any significant credit risk related to these instruments.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credit risk from accounts receivable from product sales to customers, amount due from our related party, and amounts due from our collaboration and commercialization partners. We monitor the financial performance and creditworthiness of these parties so we can properly assess and respond to changes in their credit profile and our exposure. We record a reserve against uncollectible amounts as necessary. No significant reserves were recorded as of June 30,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in Rule 13a-15(e) and Rule 15d-15(e) promulgated under the Securities Exchange Act of 1934 as amended) as of the end of the period covered by this Quarterly Report, have concluded that, based on such evaluation, our disclosure controls and procedures were effective at the reasonable assurance level.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June 30, 2022 that have materially affected, or are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Myovant Sciences Ltd. have been detected.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related to claims arising from the ordinary course of business. We are not currently a party to any material legal proceedings, and we are not aware of any pending or threatened legal proceedings against us that we believe could have a material adverse effect on our business, operating results, or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Quarterly Report on Form 10-Q (“Quarterly Report”), including the section of this Quarterly Report titled “Management’s Discussion and Analysis of Financial Condition and Results of Operations” and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events described in the following risk factors and the risks described elsewhere in this Quarterly Report occurs, our business, operating results and financial condition could be seriously harmed and the trading price of our common shares could decline and you could lose all or part of your investment in our common shares.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Drug Products</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successful commercialization of our drug products. To the extent our drug products are not commercially successful, our business, financial condition and results of operations will be materially harmed.</w:t>
      </w:r>
    </w:p>
    <w:p>
      <w:pPr>
        <w:spacing w:after="0" w:line="10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received approval for ORGOVYX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120 mg) in December 2020 from the United States (“U.S.”) Food and Drug Administration (“FDA”) for the treatment of adult patients with advanced prostate cancer, and received approval for MYFEMBREE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40 mg, estradiol 1.0 mg, and norethindrone acetate 0.5 mg) in May 2021 for the management of heavy menstrual bleeding associated with uterine fibroids. We continue to invest a significant portion of our efforts and financial resources in the commercialization of these drug products in the U.S. The ability for us and/or our collaboration partner, Pfizer Inc. (“Pfizer”), to generate net product revenues from our drug products will depend upon the size of the markets, the number of competitors in such markets and numerous other factors, including:</w:t>
      </w:r>
    </w:p>
    <w:p>
      <w:pPr>
        <w:spacing w:after="0" w:line="145" w:lineRule="exact"/>
        <w:rPr>
          <w:sz w:val="20"/>
          <w:szCs w:val="20"/>
          <w:color w:val="auto"/>
        </w:rPr>
      </w:pPr>
    </w:p>
    <w:p>
      <w:pPr>
        <w:ind w:left="6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establishing and maintaining effective sales, marketing, and distribution systems in jurisdictions in which our drug products are approved for sale;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40" w:hanging="316"/>
        <w:spacing w:after="0" w:line="259"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establishing and maintaining commercial third-party manufacturers and having adequate commercial quantities of our drug products manufactured at acceptable cost and quality levels, including maintaining current good manufacturing practice (“cGMP”) and quality systems regulation standards required by various regulatory agencies;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acceptance of our drug products by physicians, patients and the healthcare community;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pricing and placement of our drug products on payers’ formularies and the associated tiers;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approved or used medicines and future compounds in development;</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demonstration of safety and efficacy of our drug products in comparison to competing products, including through differentiated approved product labeling;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enforcing, and defending intellectual property rights and claims.</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 in July 2021, the European Commission (“EC”), and in August 2021, the United Kingdom (“U.K.”) Medicines and Healthcare products Regulatory Agency (“MHRA”), approved RYEQO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40 mg, estradiol 1.0 mg, and norethindrone acetate 0.5 mg) as the first and only long-term, once-daily oral treatment in the European Union (“EU”) and the U.K., respectively, for moderate to severe symptoms of uterine fibroids in adult women of reproductive age, with no limitation for duration of use. Since RYEQO’s approvals in the EU and U.K., our commercialization partner, Gedeon Richter Plc. (“Richter”) has launched RYEQO in a number of countries in Europe. In April 2022, the EC approved ORGOVYX as the first and only oral androgen deprivation therapy for advanced hormone-sensitive prostate cancer in Europe. Our commercialization partner, Accord Healthcare, Ltd. (“Accord”), will be responsible for the commercial launch of ORGOVYX in Europe. The success of Richter in generating net revenue from RYEQO and the success of Accord in generating revenue from ORGOVYX are also subject to many of the factors described above. If we and/or our partners do not achieve one or more of these factors in a timely manner or at all, we and/or our partners could experience significant delays or an inability to successfully commercialize any of our drug products, which would materially harm our business.</w:t>
      </w:r>
    </w:p>
    <w:p>
      <w:pPr>
        <w:spacing w:after="0" w:line="1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drug products may fail to achieve the degree of market acceptance by physicians, patients, third-party payers or others in the medical community necessary for commercial success, which would negatively impact our business.</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drug products may fail to gain sufficient market acceptance by physicians, patients, third-party payers, or others in the medical community. If any of our drug products do not achieve an adequate level of acceptance, we may not generate significant net product revenue or become profitable. The degree of market acceptance of our drug products is dependent on a number of factors, including but not limited to:</w:t>
      </w:r>
    </w:p>
    <w:p>
      <w:pPr>
        <w:spacing w:after="0" w:line="125"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 including the convenience and ease, or duration of administration;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the price of our drug products relative to other treatments;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of the approved product labels and our ability to make compelling product claims;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adequacy of our and our collaboration or commercialization partners’ sales and marketing efforts;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out-of-pocket costs in relation to alternative treatments;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potential patient population to try new therapies and of healthcare providers to prescribe these therapies;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and cost of distribution support;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patient assistance and support programs;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payer coverage and adequate reimbursement;</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diagnosis and treatment rates change in advanced prostate cancer, heavy menstrual bleeding associated with uterine fibroids, or other indications for which our drug products were approved;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drug products together with other medications.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degree of market acceptance of ORGOVYX will also depend on the acceptance and degree of adoption by institutional treatment pathways and institutional, local, and national clinical guidelines such as the National Comprehensive Cancer Networks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Clinical Practice Guidelines in Oncology, the American Urological Association guidelines, American Society of Clinical Oncology Clinical Practice Guidelines, or other country-specific guidelines. This could also be the case for MYFEMBREE in terms of inclusion in practice guidelines such as those from the American College of Gynecology, American Society for Reproductive Medicine, American Association of Gynecologic Laparoscopists, or other country-specific guidelines. In the U.S., healthcare providers may refer to these guidelines with respect to patient treatment decisions. To the extent that our current or any future approved products are not included or positioned favorably in such treatment guidelines and pathways, the full utilization potential of our products may not be reached, which may harm our ability to successfully commercialize our current or any future approved products.</w:t>
      </w:r>
    </w:p>
    <w:p>
      <w:pPr>
        <w:spacing w:after="0" w:line="13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and our collaboration or commercialization partners are unable to effectively market and sell our drug products, the commercialization of our drug products will not be successful and our business will be harmed.</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market our drug products successfully, we must continue to develop and maintain our capabilities in sales, market access, marketing, distribution, and other commercial functions, either on our own or with our third-party partners. We have made arrangements regarding some of these functions in certain markets with third-party partners. For example, on August 1, 2020, we entered into a Market Access Services Agreement, as amended, with Sunovion Pharmaceuticals Inc. (“Sunovion”) pursuant to which, among other things, Sunovion has agreed to provide to us certain market access services with respect to the distribution and sale of ORGOVYX and MYFEMBREE in the U.S. On December 26, 2020, we entered into the Pfizer Collaboration and License Agreement, pursuant to which we and Pfizer will collaborate to jointly develop and commercialize relugolix in oncology and women’s health in the U.S. and Canada (the “Co-Promotion Territory”). On March 30, 2020, we entered into the Richter Development and Commercialization Agreement pursuant to which Richter will commercialize relugolix combination tablet for uterine fibroids and endometriosis (if approved) in Europe, the Commonwealth of Independent States including Russia, Latin America, Australia, and New Zealand. On May 5, 2022, we entered into the Accord License Agreement pursuant to which Accord will commercialize ORGOVYX in the European Economic Area, U.K., Switzerland, and Turkey, with the right of first negotiation if we decide to enter into licensing arrangements in countries in the Middle East, Africa and India. If Sunovion, Pfizer, Richter, Accord or any other collaboration or commercialization partners we may engage in the future, fail to perform or satisfy its obligations under their respective agreements with us or terminate their relationship with us, the sales, market access, marketing and/or distribution of our drug products would be delayed or may not occur. In addition to the third-party collaboration arrangements described above, we continue to develop and maintain our own sales, market access, marketing, distribution and other commercial capabilities. There are significant expenses and risks involved with maintaining our own sales, market access, marketing, distribution, and other commercial capabilities, including: (i) our ability to recruit, train, and retain adequate numbers of qualified and effective sales, market access and marketing personnel; (ii) our ability to attain access to adequate numbers of healthcare professionals to prescribe any approved drugs; (iii) our ability to negotiate coverage and reimbursement for our products with payers at reasonable rebate or discount levels; (iv) our ability to negotiate competitive provider contracts to ensure access in in-office dispensing pharmacies; and (v) unforeseen costs and expenses associated with establishing and maintaining our own sales, market access, marketing, distribution, and other commercial capabilities. The COVID-19 pandemic may negatively impact our and our collaboration and commercialization partners’ ability to maintain commercial capabilities and may negatively impact our ability to rapidly and effectively educate potential prescribers and, if significant delays result, to commercialize our drug products.</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and our collaboration partner, Pfizer, launched ORGOVYX in the U.S. in January 2021 and MYFEMBREE in the U.S. in June 2021. Further, our commercialization partner, Richter, has launched RYEQO in Europe. We and/or our collaboration and commercialization partners continue to expend significant time and resources to market, sell, seek reimbursement, and distribute these drug products to physicians and the medical community in a credible, persuasive, and compliant manner consistent with applicable laws. There is no guarantee that the strategies, tactics, marketing messages, or the distribution and reimbursement capabilities that we or our collaboration or commercialization partners have developed will be successful. Specifically, for distribution of these drug products, we are heavily dependent on third-party logistics, pharmacy and distribution partners. If we or our collaboration or commercialization partners are unable to perform effectively, our ability to realize sales targets and the return on our investment in developing these drug products will suffer.</w:t>
      </w:r>
    </w:p>
    <w:p>
      <w:pPr>
        <w:spacing w:after="0" w:line="1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obtain coverage and reimbursement for ORGOVYX and MYFEMBREE in the United States, or the availability of coverage only at limited levels, would diminish our ability to generate net product revenue.</w:t>
      </w:r>
    </w:p>
    <w:p>
      <w:pPr>
        <w:spacing w:after="0" w:line="1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and Pfizer’s ability to commercialize ORGOVYX and MYFEMBREE successfully in the U.S. will depend in part on the extent to which coverage and reimbursement for ORGOVYX and MYFEMBREE will be available from third-party payers, including government health administration authorities (such as the Department of Veterans Affairs, and the Department of Defense and state Medicaid programs), Medicare Part D plan sponsors, and private health insurers, such as pharmacy benefit managers, health plans, and self-insured organizations. In the U.S., no uniform policy for coverage for products exists among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third-party payers. Third-party payers decide which drugs they will pay for, what steps prescribers must take to obtain authorization for patients to fill their prescriptions, and how much patients must pay out of their own pocket. Payer decisions regarding the extent of coverage to be provided for any of our product candidates that obtain marketing approval will be made on a plan-by-plan basis. Additionally, a third-party payer’s decision to provide coverage for a drug does not imply that an affordable out-of-pocket cost for patients will be established. Each third-party payer determines whether or not it will provide coverage for a drug, what amount it will reimburse for the drug, on what tier of its formulary the drug will be placed, and whether to require step therapy or prior authorizations. The position of a drug on a formulary generally determines out-of-pocket costs that a patient will pay to obtain the drug and can strongly influence the adoption of a drug by patients and physicians. Patients who are prescribed treatments for their conditions, providers prescribing such therapies and pharmacies that dispense drugs generally rely on third-party payers to reimburse all or part of the associated healthcare and drug costs. Coverage from both governmental healthcare programs, such as Medicare Part D and Medicaid, and coverage by private commercial payers are critical to ORGOVYX’s and MYFEMBREE’s commercial success. Coverage decisions may depend upon clinical and economic standards that disfavor new drug products when more established or lower cost therapeutic alternatives are already available or subsequently become available. Providers may also participate in shared savings programs with government or commercial payers that may also create barriers to use for innovative drugs. Further, coverage policies and third-party reimbursement rates may change at any time. Therefore, even if favorable coverage and reimbursement status is attained, less favorable coverage policies and reimbursement rates may be implemented in the future.</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there have been a number of legislative and regulatory proposals to change the healthcare system that may impact drug coverage, reimbursement for drugs, and patient out-of-pocket costs in the U.S. that could affect our ability to successfully commercialize ORGOVYX and MYFEMBREE. These legislative and regulatory changes may negatively impact the coverage, reimbursement, and patient out-of-pocket costs for ORGOVYX, MYFEMBREE and any future drugs, if approved.</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the commercialization of our approved drug products and our operating results will suffer if we fail to compete effectively.</w:t>
      </w:r>
    </w:p>
    <w:p>
      <w:pPr>
        <w:spacing w:after="0" w:line="1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commercialization of new pharmaceutical products is highly competitive, and we face substantial competition with respect to our approved drug products. For example, although ORGOVYX is the first and only oral GnRH receptor antagonist for adult patients with advanced prostate cancer approved by the FDA in the U.S., we may face competition from various drugs approved for the treatment of prostate cancer, such as Lupron Depot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(AbbVie Inc.), Eligard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(Tolmar Pharmaceuticals), Firmagon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(Ferring Pharmaceuticals), and Camcevi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(Accord BioPharma (U.S.)). MYFEMBREE is the first and only once-daily oral GnRH treatment for the management of heavy menstrual bleeding associated with uterine fibroids in premenopausal women approved by the FDA in the U.S., with a treatment duration of up to 24 months. MYFEMBREE competes with ORIAHNN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 oral GnRH receptor antagonist combination therapy (one capsule (elagolix 300 mg, estradiol 1 mg, norethindrone acetate 0.5 mg) in the morning and one capsule (elagolix 300 mg) in the evening), which was approved by the FDA and launched by AbbVie in June 2020 for the management of heavy menstrual bleeding associated with uterine leiomyomas (fibroids) in premenopausal women. In addition, ObsEva’s NDA for linzagolix, an oral GnRH receptor antagonist, for the treatment of uterine fibroids for use with and without add-back therapy, was accepted for review by the FDA in November 2021 and that the FDA set a target action date of September 13, 2022. We consider MYFEMBREE’s (if approved) most direct competitor for the treatment of pain associated with endometriosis to be ORILISSA™ (elagolix), an oral GnRH receptor antagonist, which was approved as monotherapy (150 mg once a day or 200 mg twice a day) by the FDA and launched by AbbVie in August 2018 for the management of moderate-to-severe pain associated with endometriosis.</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of our current and potential future competitors may have significantly more resources that they can deploy to commercialize drugs and may succeed in developing, acquiring or licensing, on an exclusive basis, drugs that are more effective or less costly than our drug products or any product candidate that we may obtain approval or develop. Our competitors may succeed in obtaining patent protection, discovering, developing, receiving FDA or other regulatory authority approval for or commercializing medicines before we do, which would have an adverse impact on our business and results of operations. The availability and pricing of our competitors’ products could limit the demand, lead to competitors having preferential payer coverage and limit the price we are able to charge for our drug products or any product candidate that we may obtain approval for or develop. Mergers and acquisitions in the pharmaceutical and biotechnology industries could result in even more resources being concentrated among a smaller number of our competitors.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inability to compete with existing or subsequently introduced drugs would have an adverse impact on our business, financial condition, and prospects.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manufacturers obtain approval for generic versions of ORGOVYX, MYFEMBREE, or of products with which they compete, our business may suffer.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U.S. Food, Drug and Cosmetic Act (“FDCA”), the FDA can approve an Abbreviated New Drug Application (“ANDA”), for a generic version of a branded drug without the ANDA applicant undertaking the clinical testing necessary to obtain approval to market a new drug. Generally, in place of such clinical studies, an ANDA applicant usually needs only to submit data demonstrating that its product has the same active ingredient(s), strength, dosage form, route of administration and that it is bioequivalent to the branded product.</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FDCA requires that an applicant seeking approval of a generic form of a branded drug certify either that its generic product does not infringe any of the patents listed by the owner of the branded drug in the FDA’s Approved Drug Products with Therapeutic Equivalence Evaluations, or the Orange Book, or that those patents are not enforceable. This process is known as a paragraph IV challenge. Upon notice of a paragraph IV challenge, a patent owner has 45 days to bring a patent infringement suit in federal district court against the company seeking ANDA approval of a product covered by one of the owner’s patents. If this type of suit is commenced, the FDCA provides a 30-month stay on the FDA’s approval of the competitor’s application. If the litigation is resolved in favor of the ANDA applicant or the challenged patent expires during the 30-month stay period, the stay is lifted and the FDA may thereafter approve the application based on the standards for approval of ANDAs. Once an ANDA is approved by the FDA, the generic manufacturer may market and sell the generic form of the branded drug in competition with the branded medicine.</w:t>
      </w:r>
    </w:p>
    <w:p>
      <w:pPr>
        <w:spacing w:after="0" w:line="13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ANDA process can result in generic competition if the patents at issue are not upheld or if the generic competitor is found not to infringe the owner’s patents. If this were to occur with respect to ORGOVYX, MYFEMBREE, or products with which they compete, our business would be materially harmed.</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patient safety issues were to arise for any of our drug products, our future sales of our drug products may be reduced, adversely affecting our results of operations.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data supporting the marketing approvals in the U.S. for ORGOVYX and MYFEMBREE and forming the basis for our product labels for ORGOVYX and MYFEMBREE were obtained in controlled clinical studies of limited duration. As ORGOVYX and MYFEMBREE are used over longer periods of time by patients, including those taking other medicines, we may continue to identify new issues such as safety concerns, drug resistance or interactions of these drug products, which may require us to provide additional warnings or contraindications on our product labels or narrow the approved indications, each of which could reduce the market acceptance of our drug products.</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Regulatory authorities have been moving towards more active and transparent pharmacovigilance and are making greater amounts of stand-alone safety information directly available to the public through websites and other means, e.g., periodic safety update report summaries, risk management plan summaries and various adverse event data. Safety information, without the appropriate context and expertise, may be misinterpreted and lead to misperception or legal action which may potentially negatively impact sales of our drug products. Further, if serious safety, drug resistance or interaction issues arise with any of our drug products, sales could be limited or halted by us or by regulatory authorities and our results of operations would be adversely affected. In addition, problems with other drugs marketed by third parties that utilize the same therapeutic target or that belong to the same therapeutic class as any of our drug products could adversely affect commercialization of our drug products.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safety issue emerges post-approval, we may become subject to costly product liability litigation by our customers, patients or payers. Product liability claims could divert management’s attention from our core business, be expensive to defend, and result in sizable damage awards against us that may not be covered by our insurance. If we cannot successfully defend ourselves against claims that our drug products caused injuries, we may incur substantial liabilities. Regardless of merit or eventual outcome, liability claims may result in:</w:t>
      </w:r>
    </w:p>
    <w:p>
      <w:pPr>
        <w:spacing w:after="0" w:line="127"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drug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drug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clinical studies or cancellation of clinical studies of our product candidates;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net product revenue.</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product liability insurance coverage may not be adequate to cover all liabilities that we may incur. Insurance coverage is increasingly expensive. We may not be able to obtain insurance coverage at a reasonable cost or in amounts adequate to satisfy any liability or associated costs that may arise in the future. These events could harm our business and results of operations and cause our common share price to decline.</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collaboration or commercialization partners are found to have improperly promoted unapproved uses of our drug products, we may be subject to restrictions on the sale or marketing of our drug products and significant fines, penalties, sanctions and product liability claims, and our image and reputation within the industry and marketplace could be harmed.</w:t>
      </w:r>
    </w:p>
    <w:p>
      <w:pPr>
        <w:spacing w:after="0" w:line="18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FDA and other regulatory agencies, including regulatory authorities outside the U.S., strictly regulate the marketing and promotional claims that are made about drug products, such as ORGOVYX and MYFEMBREE. In particular, promotion for a product must be consistent with its labeling approved by the FDA or by regulatory agencies in other countries. For example, in the case of ORGOVYX and MYFEMBREE, physicians may prescribe ORGOVYX or MYFEMBREE for indications or uses that are inconsistent with the approved label while we and our collaboration partner, Pfizer, may not market or promote such off-label uses. If we or our collaboration or commercialization partners are found to have promoted such unapproved uses, we may, among other consequences, receive untitled or warning letters and become subject to significant liability, which would materially harm our business. Furthermore, the use of our products for indications other than those approved by the FDA or regulatory authorities outside the U.S. may not effectively treat such conditions, which could harm our reputation in the marketplace among physicians and patients. Both the U.S. federal government and foreign regulatory authorities have levied significant civil and criminal fines against companies and individuals for alleged improper promotion and have entered into settlement agreements with pharmaceutical companies to limit inappropriate promotional activities.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Physicians’ prescribing our products for unapproved uses may also subject us to product liability claims, to the extent such uses lead to adverse events, side effects, or injuries. Product liability claims could divert management’s attention from our core business, be expensive to defend, and result in sizable damage awards against us that may not be covered by insurance. Any of these events could harm our business and results of operations and cause our common share price to decline.</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U.S., we could be subject to additional reimbursement requirements, fines, sanctions and exposure under other laws which could have a material adverse effect on our business, results of operations and financial condition.</w:t>
      </w:r>
    </w:p>
    <w:p>
      <w:pPr>
        <w:spacing w:after="0" w:line="1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participate in the Medicaid Drug Rebate Program, as administered by the Centers for Medicare and Medicaid Services (“CMS”) and other federal and state government pricing programs in the U.S., and we may participate in additional government pricing programs in the future. These programs generally require us to pay rebates or otherwise provide discounts to government payers in connection with drugs that are dispensed to beneficiaries/recipients of these programs. Pricing requirements and rebate/discount calculations are complex, vary among products and programs, and are often subject to interpretation by governmental or regulatory agencies and the courts.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addition, the Office of Inspector General of the Department of Health and Human Services and other Congressional enforcement and administrative bodies have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significant civil monetary penalties for each day the submission is late beyond the due date. Failure to make necessary disclosures and/or to identify overpayments could result in allegations against us under the Federal False Claims Act and other laws and regulations. Any required refunds to the U.S. government or responding to a government investigation or enforcement action would be expensive and time-consuming and could have a material adverse effect on our business, results of operations and financial condition. In addition, in the event that CMS were to terminate our rebate agreement, no federal payments would be available under Medicaid or Medicare for our covered outpatient drugs.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drug products are complex to manufacture, and manufacturing disruptions may occur that could cause us to experience disruptions in the supply of our drug products.</w:t>
      </w:r>
    </w:p>
    <w:p>
      <w:pPr>
        <w:spacing w:after="0" w:line="1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drug products are complex to manufacture. Notwithstanding the fact that our third-party manufacturers have validated our processes, manufacturing disruptions may occur. Such problems may prevent the production of lots that meet the specifications required for sale of the product and may be difficult and expensive to resolve. If any such issues were to arise with respect to our drug products or any future products, our business, financial results, or common share price could be adversely affected. Also, see the Risk Factor titled, “We do not have our own manufacturing capabilities and rely on third parties to produce clinical and commercial supplies of drug substance and drug product. If these third parties do not perform as we expect, do not maintain their regulatory approvals, or become subject to other negative circumstances, it may result in a delay in our ability to develop and commercialize our products.”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Drug Products Outside the U.S. and for our Product Candidates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success relies on the successful commercialization of drug products outside the U.S. and the development or commercialization of our product candidates. If we are successful in obtaining regulatory approval for drug products in jurisdictions outside the U.S. or for our product candidates, we will be subject to the same or similar commercialization risks as described above for our approved drug products.</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expect to seek other regulatory approvals for our drug products in jurisdictions outside the U.S. and for our product candidates in the U.S. If we receive regulatory approval for any drug products in jurisdictions outside the U.S. or for our product candidates in the U.S., we will be subject to the same or similar risks we currently face with the commercialization of ORGOVYX and MYFEMBREE, as described under “Risks Related to Commercialization of Our Drug Products” above. For example, in July 2021, the EC, and August 2021, the MHRA, approved RYEQO as the first and only long-term, once-daily oral treatment in the EU and the U.K., respectively, for moderate to severe symptoms of uterine fibroids in adult women of reproductive age, with no limitation for duration of use. Our commercialization partner, Richter, has launched RYEQO in a number of countries in Europe since these regulatory approvals. Sufficient coverage and reimbursement are important for Richter to successfully commercialize RYEQO in Europe, but healthcare reimbursement models and reimbursement requirements vary from country to country in Europe. Although RYEQO has been approved in the EU, many countries have not decided on pricing and reimbursement models. Some European countries may choose not to reimburse RYEQO at all or only reimburse RYEQO at a comparatively low price. The commercialization opportunities of RYEQO in Europe may be limited if RYEQO fails to obtain sufficient coverage or reimbursement in certain countries.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do not have adequate funds to cover our development and commercialization activities, we may have to raise additional capital or curtail or cease operations. We may not be able to obtain funding through public or private offerings of our capital shares, debt financings, collaboration or licensing arrangements, or other sources.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U.S., we began to commercialize ORGOVYX for the treatment of adult patients with advanced prostate cancer in January 2021 and MYFEMBREE for the management of heavy menstrual bleeding associated with uterine fibroids in June 2021. We also seek to advance additional product candidates through research and clinical development to regulatory approval and commercialization. These activities will require substantial financial resources.</w:t>
      </w:r>
    </w:p>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of June 30, 2022, we had cash, cash equivalents and marketable securities of $358.7 million. Based on our current operating plan, we believe that our existing cash, cash equivalents, and marketable securities will be sufficient to fund our operating expenses and capital expenditure requirements for at least the next 12 months from the date of issuance of this Quarterly Report. This estimate is based on our current assumptions, including assumptions relating to our ability to manage our spend, that may prove to be wrong, and we could use our available capital resources sooner than we currently expect. In future periods, if our cash, cash equivalents, marketable securities, and amounts that we expect to generate from product sales and/or third-party collaboration payments are not sufficient to enable us to fund our operations, we may need to raise additional funds in the form of equity, debt, or from other sources. In addition, we may choose to raise additional funds in the form of equity, debt, or from other sources due to market conditions or strategic considerations even if we believe we have sufficient funds for our current and future operating plans.</w:t>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expect our operating expenses, net of costs that are expected to be shared with Pfizer pursuant to the Pfizer Collaboration and License Agreement, to increase and our future capital requirements are expected to be significant. Our operating expenses and operating cash flows may fluctuate significantly from quarter-to-quarter and year-to-year and our future funding requirements, both near and long-term, will depend on many factors, including, but not limited to: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16"/>
        <w:spacing w:after="0" w:line="27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level of demand and net product revenues generated from commercial sales of our drug products and for any product candidates that may receive marketing approval in the future;</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regulatory milestones, commercial launch milestones, sales milestones, and/or royalties that we are eligible to earn pursuant to our collaboration or commercialization agreements;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shared costs, and level of investment in our and our collaboration and commercialization partners’ activities related to sales, marketing, market access, manufacturing, and distribution for our drug products and for any product candidates that may receive marketing approval;</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shared costs, and level of investment in our and our collaboration partners’ research and development activities involving ORGOVYX, MYFEMBREE, RYEQO, and any product candidates;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our planned and ongoing clinical studies for our product candidates;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comparable foreign regulatory authorities;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maintain, expand, and protect our patent claims and other intellectual property rights;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raw materials and manufacture of our drug products, including packaging;</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hire additional commercial operations, sales and marketing, scientific, clinical, regulatory, quality, and other personnel to support our commercialization, sales and marketing, regulatory, and clinical development efforts;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implement or enhance operational, accounting, finance, quality, commercial, and management information systems; and</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over which we have no control, including changes in inflation, interest rates, foreign currency rates, and the potential effect of such factors on revenues and expenses.</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terms of the Sumitomo Pharma Loan Agreement, we may not raise additional capital without obtaining the consent of Sumitomo Pharma Co. Ltd. (“Sumitomo Pharma”). If we do not have sufficient funds to complete the development of, seek regulatory approvals for our product candidates and commercialize our drug products and, if approved, our product candidates, we may be required to delay, limit, reduce, or terminate our drug development programs, commercialization efforts, and/or limit or cease our operations if we are unable to obtain additional capital to support our current operating plan. In addition, attempting to secure additional capital may divert the time and attention of our management from day-to-day activities and harm our product candidate development and commercialization efforts.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meet certain terms and conditions to draw down funds under the Sumitomo Pharma Loan Agreement. If we are unable to meet such terms and conditions, we may not be able to access funding from the Sumitomo Pharma Loan Agreement. Further, we may be obligated to repay the loans prior to their scheduled maturity date under certain circumstances.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December 27, 2019, we, one of our subsidiaries, and Sumitomo Pharma entered into the Sumitomo Pharma Loan Agreement, pursuant to which Sumitomo Pharma agreed to make revolving loans to us in an aggregate principal amount up to $400.0 million. As of June 30, 2022, approximately $41.3 million of borrowing capacity remained available to us under the Sumitomo Pharma Loan Agreement. We may draw down additional funds under the Sumitomo Pharma Loan Agreement once per calendar quarter, subject to certain terms and conditions, including the consent of our board of directors and no change of control having occurred with respect to us. We may not be able to meet such terms and conditions in the future and may not be able to secure additional funds. The maturity date of the loans under the Sumitomo Pharma Loan Agreement is December 27, 2024 or the date the outstanding principal of the loans is declared due and payable due to an event of default pursuant to the terms of the agreement. In addition, if Sumitomo Pharma fails to own at least a majority of the outstanding common shares of Myovant, it may become unlawful under Japanese law for Sumitomo Pharma to fund loans to us, and in which case we would not be able to continue to borrow under the Sumitomo Pharma Loan Agreement. Furthermore, within 30 days of a change of control having occurred with respect to us, we will be obligated to repay the outstanding amount of loans and accrued interest under the Sumitomo Pharma Loan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never achieve or maintain profitability.</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Investment in pharmaceutical product development is highly speculative because it entails substantial upfront capital expenditures and significant risk that a product candidate may fail to gain regulatory approval or fail to become commercially viable. Since inception, we have incurred significant operating losses. We expect to continue to incur significant operating expenses as we continue commercialization of ORGOVYX and MYFEMBREE in the U.S., continue to develop our product candidates, and prepare for potential regulatory approval and commercialization of our drug products in the U.S. and other jurisdictions. The timing and magnitude of our net income (loss) will depend on the commercial success of our drug products, as well as the timing and commercial success of any product launches, as well as other potential business and operational activities. Likewise, any potential future milestone or royalty payments that we are eligible to earn under our collaboration agreements will depend on the regulatory and commercial success of our drug products and product candidates, if approved. As a result, we may never achieve or maintain profitability.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Sumitomo Pharma Loan Agreement place restrictions on our operating and financial flexibility.</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obligations under the Sumitomo Pharma Loan Agreement are senior unsecured obligations that are guaranteed on a full and unconditional basis by all our subsidiaries.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Sumitomo Pharma Loan Agreement also includes customary representations and warranties as well as affirmative and negative covenants. The negative covenants include limitations on additional indebtedness, liens, certain corporate changes, certain restricted payments, investment transactions with affiliates, entry into certain restrictive agreements, change in the nature of business, and use of proceeds. Compliance with these covenants may limit our flexibility in operating our business and our ability to take actions that might be advantageous to us and our shareholders.</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Additionally, the Sumitomo Pharma Loan Agreement also includes customary events of default, including payment defaults, breaches of representations and warranties and certain covenants following any applicable cure period, cross acceleration to certain debt, other failure to pay certain final judgments, certain events relating to bankruptcy or insolvency, certain breaches by us under our Investor Rights Agreement with Sumitovant Biopharma Ltd. (“Sumitovant”) and Sumitomo Pharma, dated December 27, 2019, and failure of material provisions of the loan documents to remain in full force and effect or any contest thereto by us or any of our subsidiaries. Upon the occurrence of an event of default, a default interest rate of an additional 5.0% will apply to the outstanding principal amount of the loans, Sumitomo Pharma may terminate its obligations to make loans to us and declare the principal amount of all outstanding loans and other obligations under the Sumitomo Pharma Loan Agreement to become immediately due and payable, and Sumitomo Pharma may take such other actions as set forth in the Sumitomo Pharma Loan Agreement. Upon the occurrence of certain bankruptcy and insolvency events, the obligations of Sumitomo Pharma to make loans to us would automatically terminate and the principal amount of all outstanding loans and other obligations due under the Sumitomo Pharma Loan Agreement would automatically become due and payable. In addition, if it becomes unlawful for Sumitomo Pharma to maintain the loans under the Sumitomo Pharma Loan Agreement, we would be required to repay the outstanding principal amount of the loans and if a change of control occurs with respect to us, we would be required to repay the outstanding principal amount of the loans within 30 days of such change of control. We may not have enough available funds or be able to raise additional funds through equity or debt financings to repay these outstanding obligations at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time any event of default occurs. In that case, we may be required to delay, limit, reduce or terminate our clinical development efforts or grant to others rights to develop and market product candidates that we would otherwise prefer to develop and market ourselves. Our business, financial condition and results of operations could be substantially harmed as a result of any of these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and acquire or in-license additional product candidates, which may limit our growth potential.</w:t>
      </w:r>
    </w:p>
    <w:p>
      <w:pPr>
        <w:spacing w:after="0" w:line="16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Part of our strategy involves identifying and acquiring or in-licensing novel product candidates. We may fail to identify and acquire or in-license product candidates, including for reasons discussed in these risk factors and also:</w:t>
      </w:r>
    </w:p>
    <w:p>
      <w:pPr>
        <w:spacing w:after="0" w:line="110" w:lineRule="exact"/>
        <w:rPr>
          <w:sz w:val="20"/>
          <w:szCs w:val="20"/>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by which we identify and decide to acquire product candidates may not be successful;</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to acquire or in-license promising product candidates is fierce and many of our competitors are large, multinational pharmaceutical, biotechnology and medical device companies with considerably more financial, development and commercialization resources and experience than we have;</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upon further study during the acquisition process, be shown to have harmful side effects or other characteristics that indicate that they are unlikely to be products that will receive marketing approval or achieve market acceptance;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novel product candidates may prove to be unsuccessful and may not be effective in treating their targeted diseases.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time and resources spent searching for, identifying, acquiring, and developing potential product candidates may distract management’s attention from our primary business. If we are unable to identify and acquire or in-license suitable product candidates, we will be unable to diversify our product risk. We believe that any such failure could have a significant negative impact on our prospects for future growth.</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do not have our own manufacturing capabilities and rely on third parties to produce clinical and commercial supplies of drug substance and drug product. If these third parties do not perform as we expect, do not maintain their regulatory approvals, or become subject to other negative circumstances, it may result in a delay in our ability to develop and commercialize our products.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do not own or operate, and we do not expect to own or operate, facilities for drug substance and drug product manufacturing, storage and distribution, or testing and are subject to the risk that our contract manufacturers become subject to negative circumstances. For example, in June 2016, we and one of Takeda’s affiliates, Takeda Pharmaceutical Company Limited (“Takeda Limited”) entered into an agreement for the manufacture and clinical supply of relugolix pursuant to which Takeda Limited supplied us with, and we obtained from Takeda, all of our requirements for relugolix drug substance and drug product that were used under our development plans. In May 2018, we entered into a Commercial Manufacturing and Supply Agreement with Takeda pursuant to which Takeda agreed to manufacture and supply us with certain commercial relugolix drug substance quantities. In addition, in April 2019, we entered into a Commercial Manufacturing and Supply Agreement with Excella GmbH &amp; Co. KG (“Excella”) pursuant to which Excella agreed to manufacture and supply us with certain commercial relugolix drug substance quantities.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Takeda is no longer developing MVT-602. Additional process development and manufacturing will be required for us to complete further Phase 2 and Phase 3 clinical studies for MVT-602. Any third-party vendor that we retain for MVT-602 process and formulation development and manufacturing will need certain specialized capabilities required for MVT-602.</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need to replace a third-party manufacturer, or if any of our third-party manufacturers experience adverse developments, including with respect to adverse findings during regulatory inspections, delays in regulatory approvals and/or the COVID-19 pandemic, we could experience a significant delay in the supply of a product candidate, which could result in a considerable delay in completing our clinical studies, product testing, and potential regulatory approval of our product candidates. In addition, the commercial launch of our product candidates could be delayed and there could be a shortage in supply, which would impair our ability to generate revenue from the sale of our product candidates.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approved by the regulatory authorities pursuant to inspections that may be conducted after we submit our regulatory applications to such regulatory authorities. We do not control the manufacturing process of, and are completely dependent on, our contract manufacturing partners for compliance with cGMP requirements and other regulations and laws for the manufacture of relugolix drug substance and drug product. If our contract manufacturers cannot successfully manufacture material that conforms to our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specifications and the strict regulatory requirements of the FDA or comparable foreign regulatory authorities, they may not be able to secure or maintain regulatory approvals for their manufacturing facilities and any applications that we submit to the FDA or other regulatory authorities that list those manufacturing facilities may be negatively affected. Our third-party contract manufacturing facilities must also be in an acceptable state of cGMP compliance and not be subject to a cGMP-related regulatory or enforcement action that limits their ability to manufacture drug substance or drug product. If any of the drug substance or drug product supplied by a contract manufacturing partner cannot be utilized due to quality or cGMP concerns, adverse findings during regulatory inspections or other reasons, our development plans and commercialization of relugolix could be significantly delayed or otherwise adversely affected. The FDA or other regulatory authority may withhold approval of any pending regulatory applications or supplements in which non-complaint manufacturing facilities are listed.</w:t>
      </w:r>
    </w:p>
    <w:p>
      <w:pPr>
        <w:spacing w:after="0" w:line="2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For example, in June 2020, Takeda received a warning letter from the FDA which indicated that the FDA was not satisfied with Takeda’s response to an FDA Form 483 issued to Takeda following its routine inspection of aseptic finished pharmaceuticals manufacturing at Takeda’s manufacturing facility located at Takeda 4720, Mitsui, Hikari, Yamaguchi, Japan (“Hikari Facility”). Although this matter was resolved in October 2021, this warning letter required us to remove the Hikari Facility as a manufacturing site from our NDA submissions and to rely on the alternate contract manufacturing organization (“CMO”) listed in the NDA (i.e. Excella) to a greater extent than we had originally planned. We also face the risk that our CMOs may face adverse developments, including with respect to adverse findings during regulatory inspections, delays in regulatory approval and/or the COVID-19 pandemic. If our CMOs fail to fulfill their obligations to manufacture and supply relugolix drug substance and drug product needed for any of our approved drug products and any of our product candidates, or if any of the materials cannot be utilized due to quality or cGMP concerns, adverse findings during regulatory inspections, process validation delays, or other reasons, our development plans and commercialization of any of our approved drug products and any of our product candidates could be significantly delayed or otherwise adversely affected.</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 candidates contain highly potent compounds and therefore require specialized manufacturing facilities. Depending on actual commercial demand, additional third-party manufacturing facilities will have to be established to meet the demand through technology transfer, process validation and regulatory approval before product manufactured at the new facilities can be marketed. Any delay in the technology transfer and process validation could limit adequate supply to meet our commercial demand.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our reliance on third-party manufacturers entails various risks, including:</w:t>
      </w:r>
    </w:p>
    <w:p>
      <w:pPr>
        <w:spacing w:after="0" w:line="164" w:lineRule="exact"/>
        <w:rPr>
          <w:sz w:val="20"/>
          <w:szCs w:val="20"/>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manufacture our drug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drug substance transferred from a CMO to meet our product specifications and quality requirements;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or expand sufficient manufacturing capacity;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scale-up of manufacturing;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laws, regulations, and standards, including cGMP and similar foreign standards;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deficient or improper record-keeping;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limited number of sources, and in some cases, single sources for product components, such that if we are unable to secure a sufficient supply of these product components, we will be unable to manufacture and sell our drug products or product candidates (if approved) in a timely fashion, in sufficient quantities or under acceptable terms;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qualified backup suppliers for those components that are currently purchased from a sole or single source supplier;</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inspection findings by the FDA or other regulatory authorities at third-party manufacturing facilities and/or failure to remediate such findings;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cGMP regulatory or enforcement action at our third-party manufacturing facilities that limit their ability to manufacture drug substance or drug product for commercial use;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or other regulatory sanctions related to the manufacture of another company’s products;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products under specified storage conditions and in a timely manner.</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Any of these events could also lead to clinical study delays, cost overruns, delay or failure to obtain regulatory approval or impact our ability to successfully commercialize our products, as well as potential product liability litigation, product recalls or product withdrawals. Some of these events could be the basis for the FDA or other regulatory authority action, including injunction, recall, seizure, or total or partial suspension of production.</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or our affiliates’ employees, independent contractors, advisers, third-party manufacturers, principal investigators, consultants, commercialization partners, collaboration partners, service providers, and other vendors, may engage in misconduct or other improper activities, including noncompliance with regulatory or legal standards and requirements, which could have an adverse effect on our results of operations.</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advisers, third-party manufacturers, principal investigators, consultants, commercialization partners, collaboration partners, service providers, and other vendors, or those of our affiliates, may engage in fraudulent, illegal activity, or other misconduct. Misconduct by these parties could include intentional, reckless or negligent conduct or other unauthorized activities that violate the laws and regulations of the FDA or other regulatory bodies, including: those laws that require the reporting of true, complete, and accurate information to such regulatory bodies; laws that require manufacturing by cGMP standards; federal, state and foreign healthcare fraud and abuse laws and data privacy laws; or laws and regulations that require the true, complete, and accurate reporting of financial information or data. In particular, sales, marketing and other business arrangements in the healthcare industry are subject to extensive regulations intended to prevent fraud, kickbacks, self-dealing, bribery, corruption, antitrust violations, and other abusive practices. See the Risk Factors titled, “Our current and future relationships with investigators, healthcare professionals, consultants, third-party payers, and customers will be subject to applicable healthcare regulatory laws, which could expose us to penalties,” and “International expansion of our business exposes us to business, legal, regulatory, political, operational, financial, economic, and other risks associated with conducting business outside of the U.S., which could interrupt our business operations and harm our future international expansion and, consequently, negatively impact our financial condition, results of operations, and cash flows.” These laws may restrict or prohibit a wide range of business activities, including research, manufacturing, distribution, pricing, discounting, marketing and promotion, sales commissions, customer incentive programs, and other business arrangements. Activities subject to these laws also involve the improper use or misrepresentation of information obtained in the course of clinical studies, creating fraudulent data in our nonclinical or clinical studies or illegal misappropriation of drug product, which could result in regulatory sanctions and serious harm to our reputation. We have a Code of Business Conduct and Ethics and other corporate compliance policies, but it is not always possible to identify and deter employee or third-party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1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resulting from effects of pandemics or epidemics, such as the COVID-19 pandemic, may materially and adversely affect our business and financial condition.</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COVID-19 pandemic may materially and adversely affect our business and financial condition. For example, due to the COVID-19 pandemic, most of our employees worked remotely during much of 2020 and 2021, and many of our employees continue to do so on a part-time or full-time basis. Although we implemented new ways of working and collaborating, including adopting remote working tools to minimize the disruption to our business activities, employees may be less productive and efficient given competing priorities with home-schooling or caring for sick family members, and employee engagement and productivity may decrease from the stress of the COVID-19 pandemic resulting in delays in the progress of our business. In December 2021, we adopted a policy to require proof of vaccination as a condition of employment for all of our U.S.-based employees, subject to medical and religious exemptions, or as otherwise required by law. The safety protocols we implemented may not prevent employees from contracting COVID-19. If members of our management and other key personnel in critical functions across our organization are unable to perform their duties or have limited availability due to illness from COVID-19, we may not be able to execute on our business strategy and/or our operations may be negatively impacted. In April 2022, we reopened our offices and our employees began to return to work onsite on a voluntary basis with specific safety protocols. We have a distributed workforce and our employees have become accustomed to working remotely and working with others who are working remotely for the past two years. However, as we reopen our offices, we may face operational or other challenges as we and our partners, customers, suppliers, vendors and other parties with whom we do business continue to adjust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a hybrid model of remote and onsite work. These challenges may result in operational inefficiencies, employee dissatisfaction, and distractions to management related to such transition, any of which could harm our business.</w:t>
      </w:r>
    </w:p>
    <w:p>
      <w:pPr>
        <w:spacing w:after="0" w:line="1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believe that the COVID-19 pandemic continues to have an impact on our commercialization activities that is consistent with other companies in our industry. As a result of the COVID-19 pandemic, there have been changes in the practice of medical care and medical education. For example, many healthcare providers initially expanded their utilization of telemedicine to conduct patient visits, and in many regions of the U.S., the ability of commercial and medical affairs field teams to call on healthcare providers was restricted or converted to virtual access. We and our collaboration partner, Pfizer, launched ORGOVYX in the U.S. in January 2021 and MYFEMBREE in the U.S. in June 2021, and to date, Richter has launched RYEQO in a number of countries in Europe. Our oncology sales and medical affairs field teams resumed in-person interactions with healthcare providers in January 2021 and our women’s health sales and medical affairs field teams began in-person interactions with healthcare providers in June 2021. Despite this, some physician’s offices and many hospitals continue to have limited on-site access for pharmaceutical representatives in order to reduce exposure risk for their patients or staff. Conducting these interactions virtually could reduce the number of medical professionals we are able to engage with, limit our ability to engage with important staff members and virtual meetings have been shown to be less impactful than in-person meetings. The cancellation, postponement or virtual formats for medical conferences also limit access to physicians and reduce awareness of information shared at conferences (medical and promotional). Reduced access to healthcare providers may impact or require adjustments to our planned commercialization activities, including the manner in which our field teams engage with healthcare providers and facilities and supplementing field activities with additional marketing spend. The COVID-19 pandemic has also resulted in fewer opportunities for our medical affairs team to present scientific data as multiple medical conferences have been canceled, postponed, or moved to virtual formats and for our regional medical advisors to engage potential prescribers in scientific exchange. We and our collaboration and commercialization partners may launch other approved products or indications in the COVID-19 environment. Travel restrictions may make it more difficult for us and our collaboration and commercialization partners, such as Sunovion, Pfizer, Richter, and Accord to maximize the effectiveness of third-party market access, marketing, sales, and distribution capabilities.</w:t>
      </w:r>
    </w:p>
    <w:p>
      <w:pPr>
        <w:spacing w:after="0" w:line="1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we rely on third parties in the U.S. and in various parts of the world to assist in the conduct of our clinical studies and to supply us with sufficient drug supplies. Our ability to ensure continuous clinical drug supply to patients and our ability to ensure continuous patient follow up and data monitoring for our ongoing clinical studies may be adversely impacted. Likewise, while we currently expect that the drug supply we have on hand or expect to procure will be sufficient to support our ongoing clinical studies, our and our collaboration and commercialization partners’ commercial sales for our approved drug products, our supply chain for raw materials, drug substance and drug product is worldwide, and the duration of the COVID-19 pandemic and its impact on the ability of our suppliers to operate could negatively impact our manufacturing supply chain for our approved drug products and for our product candidates that may receive regulatory approval, or for clinical study materials. If disruptions to our supply chain persist for an extended period of time, our clinical study timelines, our financial condition and our results of operations may be negatively impacted. In addition, the COVID-19 pandemic may impact the FDA’s review process and timing of potential approval of our product candidates. Regulatory agency pre-approval inspections are now limited, particularly for sites outside the U.S., and it is not clear if virtual inspections will be required and acceptable.</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Future developments regarding COVID-19 remain uncertain and the extent to which the COVID-19 pandemic ultimately impacts our business, financial condition or results of operations will depend on numerous factors, including the magnitude and duration of the pandemic, the distribution, acceptance, and effectiveness of COVID-19 vaccines and treatments, the impact of new and potentially more virulent or transmissible variants of the coronavirus (e.g., the Delta and the Omicron variants, respectively), the duration of governmental measures to mitigate the pandemic and how quickly and to what extent normal economic and operating conditions can resume, all of which remain uncertain and difficult to predict. Additionally, even after normalcy resumes, there will likely be some permanent changes to how healthcare is provided, how healthcare providers engage with our industry and perhaps how conferences are conducted. None of these changes can be anticipated at this point, nor the potential impact on our business. As such, it is uncertain as to the full magnitude that the pandemic will have on our financial condition, liquidity, and future results of operations.</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legal, regulatory, political, operational, financial, economic, and other risks associated with conducting business outside of the U.S., which could interrupt our business operations and harm our future international expansion and, consequently, negatively impact our financial condition, results of operations, and cash flows.</w:t>
      </w:r>
    </w:p>
    <w:p>
      <w:pPr>
        <w:spacing w:after="0" w:line="1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Part of our business strategy involves international expansion, including establishing and maintaining operations outside of the U.S., and establishing and maintaining relationships with healthcare providers, payers, government officials, distributors, manufacturers and other third parties globally.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Conducting business internationally involves a number of risks, including: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complexity, difficulties and costs inherent in staffing and managing international operations and business practices in different jurisdictions;</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trade protection measures, export and import restrictions, employment, immigration and labor laws, privacy and cybersecurity laws, anti-bribery and anti-corruption laws, regulatory requirements and other governmental approvals, permits and licenses;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and rules governing drug commercialization in foreign countries;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by us or our distributors to obtain and maintain appropriate licenses or regulatory approvals for the sale or use of our product candidates, if approved, in various countries;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payer-reimbursement, pricing and insurance regimes or self-pay systems;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enforcing contracts and collecting accounts receivable, and exposure to foreign currency exchange rate fluctuations;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no protection over intellectual property rights;</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economic instability, or natural disasters, including, but not limited to, wars (such as the conflict between the Russian Federation and Ukraine) and terrorism, economic weakness, inflation, political instability in particular foreign economies and markets, boycotts, curtailment of trade, sanctions, labor disputes, unexpected changes in tariffs, and other business restrictions, outbreak of disease (such as the COVID-19 pandemic), fires, earthquakes, hurricane, tornado, severe storm, power outage, system failure, typhoons or floods;</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foreign laws, regulations, standards and regulatory guidance governing the collection, use, disclosure, retention, security and transfer of personal data, including the EU General Data Protection Regulation (the “GDPR”) which introduced strict requirements for processing personal data of individuals within the EU;</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Foreign Corrupt Practices Act, including its books and records provisions and its anti-bribery provisions, the United Kingdom Bribery Act 2010, and similar antibribery and anticorruption laws in other jurisdictions, for example by failing to maintain accurate information and control over sales or distributors’ activities;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Any of these risks, if encountered, could interrupt our business operations and harm our future international expansion and, consequently, negatively impact our financial condition, results of operations, and cash flows. We have no prior experience in certain countries, and many healthcare companies have found the process of marketing their products in foreign countries to be very challenging.</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withdrawal of the U.K. from the EU, commonly referred to as “Brexit,”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Following the result of a referendum in 2016, the U.K. left the EU on January 31, 2020, commonly referred to as Brexit. A trade and cooperation agreement (the “Trade and Cooperation Agreement”) that outlines the future trading relationship between the U.K. and the EU was agreed to in December 2020. Since a significant proportion of the regulatory framework in the U.K. applicable to our business and certain of our product candidates are derived from EU directives and regulations, Brexit has had, and may continue to have, a material impact upon the regulatory regime with respect to the development, manufacture, importation, approval and commercialization of our product candidates in the U.K. or the EU. For example, the U.K is no longer covered by the centralized procedures for obtaining EU-wide marketing authorization from the European Medicines Agency (the “EMA”), and a separate marketing authorization will be required to market our product candidates in the U.K. Until January 2023, it is possible for the MHRA to rely on a decision taken by the EC on the approval of a new marketing authorization via the centralized procedure. However, it is unclear whether the MHRA in the U.K. is sufficiently prepared to handle the increased volume of marketing authorization applications that it is likely to receive after such time. Any delay in obtaining, or an inability to obtain, any marketing approvals, as a result of Brexit or otherwise, would prevent us and our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collaboration and commercialization partners from commercializing our product candidates in the U.K. or the EU and restrict our ability to generate revenue and achieve and sustain profitability.</w:t>
      </w:r>
    </w:p>
    <w:p>
      <w:pPr>
        <w:spacing w:after="0" w:line="1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While the Trade and Cooperation Agreement provides for the tariff-free trade of medicinal products between the U.K. and the EU, there may be additional non-tariff costs to such trade which did not exist before. Further, should the U.K. diverge from the EU from a regulatory perspective in relation to medicinal products, tariffs could be put into place in the future. We could therefore, both now and in the future, face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1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and those of our third-party collaborators, consultants or contractors, may fail or suffer cybersecurity breaches and data leakage, which could result in a material disruption of our business and operations or liabilities that adversely affect our financial performance.</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computer systems, as well as those of our contract research organizations (“CROs”), CMOs, third-party logistics providers, third-party collaboration and commercialization partners, and other contractors, consultants, and law and accounting firms, may sustain damage or data leakage from computer viruses, unauthorized access or disclosure, data breaches, phishing attacks, cybercriminals, natural disasters (including hurricanes and earthquakes), terrorism, war, and telecommunication and electrical failures.</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and data recovery measures and identify and correct for any such failures, deficiencies or breaches.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the commercialization of our drug products and our drug development programs. For example, the loss of commercialization information, nonclinical or clinical study data from completed, ongoing or planned clinical studies could result in delays in our commercialization, regulatory approval efforts and significantly increase our costs to recover or reproduce the data. To the extent that any disruption or security breach were to result in a loss of or damage to our data, access or applications, or inappropriate disclosure of personal, confidential or proprietary information, we could incur liability, suffer reputational damage, and the further development of any current or future product candidate could be delayed.</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This information includes, among other things, our intellectual property and proprietary information, commercialization activities, and non-clinical or clinical data from completed, ongoing, or planned clinical studies, and the personally identifiable information of our employees. It is important to our operations and business strategy that this electronic information remains secure and is perceived to be secure. The size and complexity of our information technology systems, and those of third-parties whom we conduct business with, and the volume of data we retain, make such systems potentially vulnerable to breakdown, malicious intrusion, security breaches, ransomware attacks, social engineering attacks, supply-chain attacks, and other cyber-attacks. Ransomware attacks are becoming increasingly prevalent and severe. These threats may come from a wide variety of actors, including traditional hackers, employees, sophisticated nation-states, and state-sponsored actors.</w:t>
      </w:r>
    </w:p>
    <w:p>
      <w:pPr>
        <w:spacing w:after="0" w:line="1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Similarly, supply chain attacks have increased in frequency and severity, and we cannot guarantee that third parties in our supply chain have not been compromised or that they do not contain exploitable defects or bugs that could result in a breach of or disruption to our information technology systems and infrastructure or the information technology systems and infrastructure of third parties that support our operations. Furthermore, because of the COVID-19 pandemic, we have adopted a remote workforce model, which increases the risk that our information technology systems and data could be compromised as more of our employees work from home, utilizing network connections outside our premises. As cyber threats continue to evolve, we may be required to expend significant additional resources to continue to modify or enhance our protective measures or to investigate and remediate any information security vulnerabilities. Although to our knowledge, we have not experienced any material incident or disruption to date, we cannot be certain that we, or third-parties whom we conduct business with, will not be the target of cybersecurity incidents. While we have implemented security measures to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U.S. and foreign privacy and data protection laws and regulations, we may be subject to liabilities that adversely affect our business, operations and financial performance.</w:t>
      </w:r>
    </w:p>
    <w:p>
      <w:pPr>
        <w:spacing w:after="0" w:line="1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federal and state laws and regulations requiring that we take measures to protect the privacy and security of certain information we gather and use in our business. For example, federal and state security breach notification laws, state health information privacy laws and federal and state consumer protection laws impose requirements regarding the collection, use, disclosure and storage of personal information. In addition, California enacted the California Consumer Privacy Act (“CCPA”), which became effective on January 1, 2020. The CCPA gives California residents expanded rights to access and require deletion of their personal information, opt out of certain personal information sharing, and receive detailed information about how their personal information is used.</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CCPA provides for civil penalties for violations, as well as a private right of action for data breaches that may increase data breach litigation. Although the CCPA includes exemptions for certain clinical study data, and Health Insurance Portability and Accountability Act (“HIPAA”) protected health information, the law may increase our compliance costs and potential liability with respect to other personal information we collect about California residents. The CCPA has prompted a number of proposals for new federal and state privacy legislation that, if passed, could increase our potential liability, increase our compliance costs and adversely affect our business.</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may also be subject to or affected by foreign laws and regulations, including regulatory guidance, governing the collection, use, disclosure, security, transfer and storage of personal data, such as information that we collect about patients and healthcare providers in connection with clinical studies and our other operations in the U.S. and abroad. The global legislative and regulatory landscape for privacy and data protection continues to evolve, and implementation standards and enforcement practices are likely to remain uncertain for the foreseeable future. This evolution may create uncertainty in our business, result in liability or impose additional costs on us. The cost of compliance with these laws, regulations and standards is high and is likely to increase in the future. For example, the EU has adopted the GDPR, which has strict requirements for processing personal data. The GDPR increases our compliance burden with respect to data protection, including by mandating potentially burdensome documentation requirements and granting certain rights to individuals to control how we collect, use, disclose, retain and leverage information about them. The processing of sensitive personal data, such as information about health conditions, entails heightened compliance burdens under the GDPR and is a topic of active interest among foreign regulators. In addition, the GDPR provides for breach reporting requirements, more robust regulatory enforcement and fines of up to the greater of 20 million euros or 4% of annual global revenue. While companies are afforded some flexibility in determining how to comply with the GDPR’s various requirements, significant effort and expense are required to ensure continuing compliance with the GDPR. Moreover, the requirements under the GDPR and guidance issued by different EU member states may change periodically or may be modified, and such changes or modifications could have an adverse effect on our business operations if compliance becomes substantially costlier than under current requirements. It is also possible that each of these privacy laws may be interpreted and applied in a manner that is inconsistent with our practices. Further, Brexit has created uncertainty with regard to data protection regulation in the U.K. In particular, it is unclear whether, post Brexit, the U.K. will enact data protection legislation equivalent to the GDPR and how data transfers to and from the U.K. will be regulated. Any failure or perceived failure by us to comply with federal, state, or foreign laws or self-regulatory standards could result in negative publicity, diversion of management time and effort and proceedings against us by governmental entities or others. In many jurisdictions, enforcement actions and consequences for noncompliance are rising. As we continue to expand into other foreign countries and jurisdictions, we may be subject to additional laws and regulations that may affect how we conduct business.</w:t>
      </w:r>
    </w:p>
    <w:p>
      <w:pPr>
        <w:spacing w:after="0" w:line="13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failure to successfully expand and maintain our enterprise resource planning (“ERP”) system and other information technology systems could adversely affect our business and results of operations or the effectiveness of internal control over financial reporting.</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 company-wide ERP system pertaining to certain business, operational, and finance processes. We have continued to optimize and expand this ERP system and have implemented and continue to optimize other systems as a part of our ongoing technology and process improvement initiatives. ERP and other information technology system implementations are complex, expensive and time-consuming projects that require transformations of business, operational, and finance processes. Any such transformation involves risk inherent in the conversion to a new system, including loss of information and potential disruption to normal operations.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disruptions, delays, or deficiencies in the design or the ongoing maintenance and optimization of the ERP system and other information technology systems could adversely affect our ability to accurately maintain our books and records, provide accurate, timely and reliable reports on our financial and operating results, or otherwise operate our business. Additionally, if the ERP system and other information technology systems do not operate as intended, the effectiveness of our internal control over financial reporting could be adversely affected and could cause us to fail to comply with SEC obligations related to our internal control over financial reporting. In addition, if we experience interruptions in service or operational difficulties and are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unable to effectively manage our business following the implementation or optimization of the ERP system or other information technology systems, our business and results of operations could be harmed.</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phase-out of the London Interbank Offered Rate (“LIBOR”), or the replacement of LIBOR with an alternative reference rate, may adversely affect interest rates on our outstanding variable rate indebtedness with Sumitomo Pharma.</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July 27, 2017, the U.K.’s Financial Conduct Authority (the authority that regulates LIBOR) announced that after 2021, it would no longer compel banks to submit the rates required to calculate LIBOR. The administrator for LIBOR and other inter-bank offered rates, ICE Benchmark Administration (“IBA”), confirmed on March 5, 2021 its previously announced dates for LIBOR cessation. The 1-week and 2-week USD LIBOR have ceased publication and the 3-month, 6-month and 1-year USD LIBOR are currently scheduled to cease publication after June 30, 2023. The interest rate under the Sumitomo Pharma Loan Agreement is calculated based on 3-month LIBOR and, when the publication of 3-month LIBOR is discontinued, we will need to agree with Sumitomo Pharma on a new method of calculating the interest rate under the Sumitomo Pharma Loan Agreement. Changes in the method of calculating LIBOR, or the replacement of LIBOR with an alternative rate or benchmark, may adversely affect interest rates and result in higher borrowing costs. This could adversely affect our results of operations, cash flows and liquidity. We cannot predict the effect of the 3-month LIBOR replacement benchmark rate at this time.</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the Federal Reserve and other regulating bodies around the world have raised, and may continue to raise, or may announce intentions to raise, interest rates. These developments, along with global economic uncertainties and market volatility, inflation, the impacts of COVID 19, and the conflict between the Russian Federation and Ukraine, could cause interest rates, including the 3-month LIBOR and any replacement benchmark rate, to be volatile.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conflict between the Russian Federation and Ukraine and other government policies and actions could negatively affect our clinical trial sites in Ukraine. We and/or our collaboration and commercialization partners may not be able to launch our commercial products in the Russian Federation, Ukraine or other regions which may negatively affect our financial results. The uncertain nature, magnitude, and duration of hostilities stemming from such conflict may result in changes in the world’s macroeconomic conditions which negatively affect our business operations.</w:t>
      </w:r>
    </w:p>
    <w:p>
      <w:pPr>
        <w:spacing w:after="0" w:line="1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conflict between the Russian Federation and Ukraine may have a material adverse effect on our ability to adequately conduct certain clinical trial procedures and maintain compliance with the clinical trial protocol in Ukraine, due to the prioritization of hospital resources away from clinical trials, reallocation or evacuation of site staff and clinical trial participants, or as a result of government-imposed curfews, warfare, violence or other governmental action or events that restrict movement. Some patients may not be able to comply with clinical trial protocols if the conflict impedes patient movement or interrupts healthcare services. We may not be able to access sites for monitoring in regions affected by economic, political or social disruptions in Ukraine and we may not be able to obtain data from affected sites going forward. Our collaboration partners could experience disruptions in their supply chains in regions affected by such rising conflict that may have a negative impact on us. If our access to our clinical trial sites and data were to experience significant disruption due to these risks or for other reasons, it could have an adverse effect on the timing of our clinical trials. The ability of the FDA to conduct pre-approval inspections in Ukraine or other disrupted areas could also be adversely affected. In addition, the U.S., the E.U., and the U.K. have adopted comprehensive sanctions, which restrict a wide range of trade and financial dealings with the Russian Federation and Russian persons, as well as certain regions in Ukraine, including by imposing stricter export controls, prohibiting dealings with major Russian banks and credit institutions, and prohibiting trade with the Donetsk and Luhansk regions of Ukraine. These sanctions could also extend to Russian allies, such as Belarus. We, or our collaboration and commercialization partners, may not be able to launch our commercial products in Russia, Ukraine or certain regions that are subject to such trade sanctions which may negatively affect our financial results.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uncertain nature, magnitude, and duration of hostilities stemming from the conflict between the Russian Federation and Ukraine and potential further sanctions against the Russian Federation, embargoes, regional instability, and geopolitical shifts could have a material negative impact on the world’s macroeconomic conditions which may result in potential shipping delays, increased market volatility and uncertainty, and increased cost or unavailability of raw materials and fuel, supplies, freight and labor, inflation, and fluctuations in currency exchange rates. These macroeconomic factors could adversely affect our business, supply chain, clinical studies, results of operations, suppliers or customers. It is not possible for us to predict the broader consequences of this conflict at this time and we continue to monitor this situation and the impact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Clinical Development and Regulatory Approval</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studies are very expensive, time consuming, difficult to design and implement, and involve uncertain outcomes. Clinical study failures can occur at any stage of clinical studies, and we could encounter problems that cause us to suspend, abandon or repeat clinical studies. We cannot predict with any certainty the timing for commencement or completion of current or future clinical studies.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product candidate will require extensive clinical testing resulting in sufficiently positive outcomes before we are prepared to submit an NDA or other similar application for regulatory approval. Human clinical studies are very expensive and difficult to design and implement, in part because they are subject to rigorous regulatory requirements. The FDA or other regulatory authorities may not agree with our proposed plans for any clinical studies of our product candidates, or any other potential future product candidates, which may delay or prevent the approval of an NDA or similar application. For example, on May 18, 2021, the FDA informed us by teleconference that it placed a partial clinical hold on our Phase 3 SERENE study (MVT-601-050) evaluating relugolix combination tablet for the prevention of pregnancy pending amendment of the study protocol. In August 2021, the FDA informed us that the partial clinical hold on such study was lifted following study protocol amendments. The clinical study process is also very time consuming.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completion of clinical studies may be delayed or prevented by several factors, including:</w:t>
      </w:r>
    </w:p>
    <w:p>
      <w:pPr>
        <w:spacing w:after="0" w:line="164" w:lineRule="exact"/>
        <w:rPr>
          <w:sz w:val="20"/>
          <w:szCs w:val="20"/>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approval to commence a study or regulatory actions requiring a hold on any of our clinical studies;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studies;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dosing issues;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 on acceptable terms with prospective CROs and/or clinical study sites, the terms of which can be subject to extensive negotiations and may vary significantly among different CROs and clinical study sites;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determination that the cost of completing the clinical trial and obtaining regulatory approval does not warrant the expense and investment of time by management and our other personnel;</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and enrollment or failure to recruit suitable patients to participate in a study;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open a sufficient number of clinical study sites;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impact from changes in or modifications to clinical study design;</w:t>
      </w:r>
    </w:p>
    <w:p>
      <w:pPr>
        <w:spacing w:after="0" w:line="16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clinical investigators or study participants to follow our clinical and other applicable protocols; for example, missed assessments or impeded access to clinical study sites due to the COVID-19 pandemic or the conflict between the Russian Federation and Ukraine;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premature discontinuation of study participants from clinical studies or missing data;</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or release sufficient quantities of relugolix, MVT-602, estradiol, progestin or placebo or failure to obtain sufficient quantities of concomitant medication, that in each case meet our quality standards, for use in clinical studies;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or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unblinding of study patients or study results.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Clinical study failures can occur at any stage of clinical studies, and we could encounter problems that cause us to suspend, abandon or repeat clinical studies. We, the FDA or an institutional review board or other regulatory authority may suspend our clinical studies at any time if it appears that we or our collaborators are failing to conduct a clinical study in accordance with regulatory requirements, including, the FDA’s current Good Clinical Practices (“cGCP”) or cGMP regulations, that we are exposing participants to unacceptable health risks, or if the FDA or other regulatory authority, as the case may be, finds deficiencies in our Investigational New Drug application or other submissions or the manner in which the clinical studies are conducted. In addition, product candidates in later stages of clinical development may fail to show the desired safety and efficacy outcomes despite having progressed successfully through prior stages of preclinical and clinical testing. Results from</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clinical studies may require further evaluation, delaying the next stage of clinical development or submission of an NDA or other similar application for regulatory approval. Further, we may determine to terminate a clinical trial if we determine that the cost and time of management and our other personnel does not warrant further investment in the clinical trial. Therefore, we cannot predict with any certainty the timing for commencement or completion of current or future clinical studies. If we experience delays in the commencement or completion of our clinical studies, or if we terminate a clinical study prior to completion, the commercial prospects of any product candidates could be harmed, and our ability to generate net product revenue from any product candidates may be delayed. In addition, any delays in our clinical studies could increase our costs, cause a decline in our common share price, slow down the regulatory approval process, and jeopardize our ability to commence product sales and generate net product revenue. Any of these occurrences may harm our business, financial condition, and results of operations. In addition, many of the factors that cause or lead to a delay in the commencement or completion of clinical studies may also ultimately lead to the denial of regulatory approval of our product candidates.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Moreover, principal investigators for our clinical studies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the integrity of the study. The FDA or other regulatory authority may therefore question the integrity of the data generated at the applicable clinical study site and the utility of the clinical study itself may be jeopardized. Clinical study sites, CROs, and manufacturing sites may be inspected for compliance with cGCP or cGMP. Any questions about data integrity or significant quality issues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3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the research and development of relugolix and MVT-602 previously conducted by Takeda. If Takeda did not conduct this research and development in compliance with applicable requirements, it could result in increased costs and delays in our development of these product candidates.</w:t>
      </w:r>
    </w:p>
    <w:p>
      <w:pPr>
        <w:spacing w:after="0" w:line="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Prior to our acquisition of worldwide rights (excluding Japan and certain other Asian countries) to relugolix and worldwide rights to MVT-602, we had no involvement with or control over the nonclinical or clinical development of relugolix or MVT-602. We are dependent on Takeda having conducted such research and development in accordance with the applicable protocols and legal, regulatory, and scientific standards, having accurately reported the results of all clinical studies and other research conducted prior to our acquisition of the rights to relugolix and MVT-602, having correctly collected and interpreted the data from these studies and other research, and having supplied us with complete information, data sets, and reports required to adequately demonstrate the results reported through the date of our acquisition of these assets. Problems related to any of such nonclinical or clinical work could result in increased costs and delays in the development of our product candidates, which could adversely affect our ability to generate any future revenue from these product candidates.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Recruitment, enrollment and retention of patients in clinical studies is an expensive and time-consuming process and could be made more difficult or rendered impossible by multiple factors outside our control.</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may encounter delays in enrolling, or be unable to enroll, a sufficient number of patients to complete any of our clinical studies on our current timelines, or at all, and even once enrolled, we may be unable to retain a sufficient number of patients to satisfactorily complete any of our clinical studies. Enrollment in our clinical studies may be slower than we anticipated, leading to delays in our development timelines. Patient enrollment and retention in clinical studies depends on many factors, including the size of the patient population, the nature of the study protocol, our ability to recruit clinical study investigators with the appropriate competencies and experience, the existing body of safety and efficacy data with respect to the study drug, the number and nature of competing treatments and ongoing clinical studies of competing drugs for the same indication, the proximity of patients to clinical trial sites, the eligibility criteria for the study and the proportion of patients screened that meet those criteria, our ability to obtain and maintain patient consents, and the risk that patients enrolled in clinical studies will not comply with the protocol or will drop out of the studies before completion. In addition, unforeseen global instability, including political instability or instability from an outbreak of pandemic or contagious disease, such as the COVID-19 pandemic, in or around the countries in which we conduct our clinical studies, could delay the commencement or rate of completion of our clinical studies. Furthermore, any negative results we or a collaboration partner may report from clinical studies of our product candidates may make it difficult or impossible to recruit, enroll, and retain patients in other clinical studies of that same product candidate. Similarly, negative or positive results reported by our competitors about their products or product candidates may negatively affect patient recruitment, enrollment, or retention in our clinical studies. Also, marketing authorization of competitors in the same class of product candidates may impair our ability to recruit, enroll, or retain patients into our clinical studies, delaying or potentially preventing us from completing clinical studies. Delays or failures in planned patient recruitment, enrollment or retention may result in increased costs, program delays or both, which could have a harmful effect on our ability to develop our product candidates, or could render further development impossible.</w:t>
      </w:r>
    </w:p>
    <w:p>
      <w:pPr>
        <w:spacing w:after="0" w:line="1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clinical studies may not support our proposed claims for our product candidates. The results of previous clinical studies may not be predictive of future results, and interim or top-line data may be subject to change or qualification based on the complete analysis of data.</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Even if our clinical studies are completed as planned, we cannot be certain that their results will support the efficacy or safety of our product candidates. For example, product candidates may not meet the criteria for success for their primary endpoint specified in the statistical analysis plan, highlighting the importance of appropriate selection of the primary endpoint, statistical powering of a clinical study, and diligent oversight of the treatment compliance of those patients enrolled into the study. Success in nonclinical testing and early clinical studies does not ensure that later clinical studies will be successful, and we cannot be sure that the results of later clinical studies will replicate the results of prior clinical studies and nonclinical testing. Likewise, promising results in interim analyses or other preliminary analyses do not ensure that the clinical study as a whole will be successful. In addition, the FDA may not agree that clinical study results are sufficient for approval for any product candidate, or even if approved, may not support a label that is capable of competing with existing treatments. A number of companies in the pharmaceutical industry, including biotechnology companies, have suffered significant setbacks in clinical studies, even after having achieved promising results in earlier nonclinical or clinical studies. These setbacks have been caused by, among other things, nonclinical findings made while clinical studies were underway and safety or efficacy observations made in clinical studies, including previously unreported adverse events. Positive results from any of our clinical studies may not be predictive of the results of any of our other ongoing and potential future clinical studies, and there can be no assurance that the results of studies conducted by third parties will be viewed favorably or are indicative of our own future study results. We may publicly disclose top-line or interim data from time to time, which is based on a preliminary analysis of then-available data, and the results and related findings and conclusions are subject to change following a more comprehensive review, audit, and verification of the data related to the particular study. We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 future failure of a clinical study to meet its primary endpoints would likely cause us to abandon a product candidate and may delay development of a product candidate. Any delay in, or termination of, our clinical studies will delay the submission of our NDAs to the FDA or other similar applications to other foreign regulatory authorities and, ultimately, our ability to commercialize our product candidates and generate net product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both"/>
        <w:ind w:right="54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Reported data or other clinical development announcements by Takeda, its partners or sublicensees, or by our collaboration and commercialization partners, including Pfizer, Richter, or Accord may adversely affect our commercialization of our drug products and our clinical development plans.</w:t>
      </w:r>
    </w:p>
    <w:p>
      <w:pPr>
        <w:spacing w:after="0" w:line="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Takeda, its partners and sublicensees, and our collaboration and commercialization partners, Pfizer, Richter, and Accord may be involved in the further clinical development of relugolix. Favorable announcements by Takeda, Pfizer, Richter, or Accord do not guarantee that the results of our clinical studies will also be favorable as the designs of our clinical studies may differ from those of Takeda, Pfizer, Richter, or Accord. Further, if clinical study or post-marketing adverse events regarding relugolix are reported, or subsequent announcements by our partners regarding relugolix are unfavorable, it could negatively impact our commercialization of drug products, and our clinical development plans for or opinions of the FDA or other regulatory authorities with respect to relugolix. For example, Takeda has developed relugolix for the treatment of women with uterine fibroid-associated pain and heavy menstrual bleeding in Japan. Takeda reported positive top-line results from its two Phase 3 clinical studies in Japan in women with uterine fibroids and has obtained market authorization in Japan from the Ministry of Health, Labor and Welfare for Relumina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tablets 40 mg (generic name: relugolix) for the improvement of symptoms of uterine fibroids, including heavy menstrual bleeding, lower abdominal pain, lower back pain, and anemia. We cannot provide assurance that the FDA or other health authorities will allow us to use the data from Takeda’s clinical studies in support of any NDA or marketing authorization application that we may submit, and such data may be interpreted differently by the regulatory authorities and provide contradictory evidence in support of the evaluation by the FDA or other regulatory authority. If the FDA or other regulatory authorities do not allow us to use the data from Takeda’s clinical studies, we may be required to perform additional clinical studies.</w:t>
      </w:r>
    </w:p>
    <w:p>
      <w:pPr>
        <w:spacing w:after="0" w:line="1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If we are not able to obtain required regulatory approvals for our product candidates, our ability to generate net product revenue will be materially impaired.</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invest a substantial portion of our efforts and expenditures in the development and advancement of our product candidates. The research, testing, manufacturing, labeling, approval, sale, marketing, and distribution of products are and will remain subject to extensive regulation by the FDA and other regulatory authorities in the U.S. and other countries. We and our collaboration and commercialization partners are not permitted to market our product candidates in the U.S. until we receive approval of NDAs or sNDAs or in any foreign country until we receive the requisite approvals from the appropriate regulatory authorities in such countries. Obtaining approval of an NDA, an sNDA or similar foreign regulatory approval is an extensive, lengthy, expensive and inherently uncertain process, and the FDA or other foreign regulatory authority may delay, limit or deny approval of our product candidates. The time required to obtain approval of an NDA or an sNDA by the FDA or similar regulatory authorities outside of the U.S. is unpredictable but typically takes many years following the commencement of clinical studies and depends upon numerous factors, including the substantial discretion of the regulatory authority. In addition, approval policies, regulations or the type and amount of clinical data necessary to gain approvals may change during the course of a product candidate’s clinical development and may vary among jurisdictions. Obtaining approval of an NDA or an sNDA from the FDA or a regulatory approval from a regulatory authority outside the U.S. is an expensive process. The submission of NDAs and sNDAs is subject to a substantial application user fee, and the manufacturer and/or sponsor under approved NDAs and sNDAs are also subject to annual program user fees. We may incur additional costs in the future for our anticipated regulatory submissions, including the fees associated with NDAs, sNDAs and foreign equivalent submissions.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Securing marketing approvals requires the submission of extensive nonclinical and clinical data and supporting information to regulatory authorities for each therapeutic indication to establish the safety and efficacy of our product candidates for the specified indication. The process of responding to the FDA or other regulatory authorities’ information requests in the review process, potentially preparing for and appearing at a public advisory committee or oral hearing, and preparing our manufacturers and investigators to successfully complete inspections by the FDA or other regulatory authorities during the approval process requires significant human and financial resources. If the information from our completed clinical studies is insufficient to support regulatory approvals, we may have to complete ongoing or additional clinical studies.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rely on third-party CROs and consultants to assist us in submitting and supporting the applications necessary to gain marketing approvals. Securing marketing approval also requires the submission of information about the product manufacturing process to, and inspection of manufacturing facilities by, the regulatory authorities. Delays or errors in the submission of applications for marketing approvals or issues, including those related to gathering the appropriate data and the inspection process, may ultimately delay or affect our ability to obtain regulatory approvals, commercialize our product candidates, and generate net product revenue. Despite efforts at compliance, from time to time, we or our partners may receive notices of manufacturing, quality-related, or other observations following inspections by regulatory authorities, as well as official agency correspondence regarding compliance. We also face the risk that our CMOs may face adverse developments, including with respect to adverse findings during regulatory inspections, delays in regulatory approval and/or the COVID-19 pandemic. If Excella or our other CMOs fail to fulfill their obligations to manufacture and supply relugolix drug substance and drug product needed for our commercialization, or if any of the materials cannot be utilized due to quality or cGMP concerns, adverse findings during regulatory inspections, process validation, or other reasons, our development plans and commercialization of our product candidates could be significantly delayed or otherwise adversely affected.</w:t>
      </w:r>
    </w:p>
    <w:p>
      <w:pPr>
        <w:spacing w:after="0" w:line="13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approval for a product candidate in one country or jurisdiction, we may never obtain approval for or commercialize it in any other jurisdiction which would limit our ability to realize our product candidates’ full market potential.</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market any products in any particular jurisdiction, we must establish and comply with numerous and varying regulatory requirements on a country-by-country basis regarding safety and efficacy. Approval for a product candidate by the FDA in the U.S. does not ensure approval by regulatory authorities in any other country or jurisdiction. In addition, clinical studies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 Seeking regulatory approval could result in difficulties and costs for us and require additional nonclinical studies or clinical studies which could be costly and time consuming. Regulatory requirements can vary widely from country to country and could delay or prevent the introduction of our products in those countries. We are reliant, in part, upon the regulatory expertise of Richter and Accord to gain approval for certain drug products in the licensed territories and are completely reliant on Richter and Accord to generate net product revenue in the territories licensed to them. For example, in July 2021, the EC, and August 2021, the MHRA, approved RYEQO as the first and only long-term, once-daily oral treatment in the EU and the U.K., respectively, for moderate to severe symptoms of uterine fibroids in adult women of reproductive age, with no limitation for duration of use. In addition, in April 2022, the EC approved ORGOVYX for the treatment of advanced hormone-sensitive prostate cancer. We will rely on Richter and Accord to successfully commercialize our approved drug products in Europe. If we or our collaboration or commercialization partners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1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Adverse events associated with our product candidates could cause us, regulatory authorities, other reviewing entities or clinical study sites to interrupt, delay, request modification of, or halt clinical studies and could result in the denial of regulatory approval.</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Adverse events associated with our product candidates could cause us, regulatory authorities, or other reviewing entities or clinical study sites to interrupt, delay, request modification of, or halt clinical studies and could result in the denial of regulatory approval. If an unacceptable frequency or severity of adverse events are reported in our clinical studies for our product candidates, our ability to obtain regulatory approval or a desirable label for such product candidates may be negatively impacted. Treatment-related side effects could also affect patient recruitment or the ability of enrolled patients to complete the study or result in potential product liability claims. In addition, these side effects may not be appropriately recognized or managed by the treating medical staff. Any of these occurrences may harm our business, financial condition and prospects.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monitor the safety and efficacy of ORGOVYX, MYFEMBREE and RYEQO and any other product candidates that are approved by the FDA or other regulatory authorities. We are subject to ongoing regulatory requirements to submit safety and other post-marketing information and reports, including adverse event reporting. Post-marketing adverse events related to ORGOVYX and MYFEMBREE could negatively impact our commercialization plans for these products and could negatively impact the clinical development of our product candidates.</w:t>
      </w:r>
    </w:p>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any of our approved drug products cause, or any of our product candidates are approved and then cause, serious or unexpected side effects, a number of potentially significant negative consequences could result, including: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require a Risk Evaluation and Mitigation Strategy (a “REMS”) (or equivalent outside the U.S.) to impose restrictions on its distribution or other risk management measures;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post-marketing studies or clinical studies;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warnings or contraindications or limit the duration of use;</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to conduct additional clinical studies;</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repeat a nonclinical or clinical study or terminate a program, even if other studies or studies related to the program are ongoing or have been successfully completed;</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elect to discontinue the sale of our product;</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 and could substantially increase the costs of commercializing ORGOVYX, MYFEMBREE, and any of our product candidates, if approved.</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obtained regulatory approval for ORGOVYX and MYFEMBREE in the U.S., and RYEQO and ORGOVYX in Europe, or even if we obtain regulatory approval for any of our product candidates, we face or will still face extensive regulatory requirements and our products may face future development risks and regulatory difficulties.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drug products and 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are and will be subject to extensive and ongoing requirements of and review by the FDA and other regulatory authorities. These requirements include submissions of safety and other post-marketing information and reports, establishment of registration and drug listing requirements, continued compliance with cGMP requirements relating to manufacturing, quality control, quality assurance and corresponding maintenance of records and documents, requirements regarding the distribution of drug product samples to physicians, recordkeeping, and cGCP requirements for any clinical studies that we conduct post-approval.</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for which the product may be marketed or to the conditions of approval or the FDA or other regulatory authorities may require that contraindications, warnings or precautions-including in some cases, a boxed warning, be included in the product labeling. Even if any product candidate receives marketing approval, if the indication approved by regulatory authorities is narrower than we expect or the accompanying label limits the approved use of our product, our sales of products could be limited, and we may not generate significant revenue from sales of our products.</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Regulatory authorities closely regulate the post-approval marketing and promotion of drugs to ensure drugs are marketed only for the approved indications and in accordance with the provisions of the approved labeling. The FDA does not regulate the behavior of physicians in their choice of treatments and physicians may, in their independent medical judgment, prescribe legally available products for off-label uses. However, regulatory authorities, including the FDA, impose stringent restrictions on manufacturers’ communications regarding off-label use of their products, and if regulatory authorities believe that we are in violation of these restrictions, we may be subject to enforcement action for off-label marketing. Violations of the Federal Food, Drug, and Cosmetic Act in the U.S., and other comparable regulations in foreign jurisdictions, relating to the promotion of prescription drugs may lead to enforcement actions and investigations by the FDA, Department of Justice, State Attorney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Generals, and other foreign regulatory agencies alleging violations of U.S. federal and state health care fraud and abuse laws, as well as state consumer protection laws and comparable laws in foreign jurisdictions.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 those discussed in the Risk Factor titled, “Adverse events associated with our product candidates could cause us, regulatory authorities, other reviewing entities or clinical study sites to interrupt, delay, request modification of, or halt clinical studies and could result in the denial of regulatory approval.”</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investigators, healthcare professionals, consultants, third-party payers, and customers will be subject to applicable healthcare regulatory laws, which could expose us to penalties.</w:t>
      </w:r>
    </w:p>
    <w:p>
      <w:pPr>
        <w:spacing w:after="0" w:line="1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payers, patient support service providers, charitable organizations, and customers may expose us to broadly applicable fraud and abuse and other healthcare laws and regulations. These laws regulate the business or financial arrangements and relationships through which we conduct our operations, including how we research, market, sell, and distribute our products for which we obtain marketing approval. Such laws include, among others, the federal Anti-Kickback Statute, the federal false claims laws, HIPAA, the Patient Protection and Affordable Care Act of 2010, as amended by the Health Care and Education Reconciliation Act of 2010, the federal Physician Payments Sunshine Act, and analogous state fraud and abuse, data privacy, and transparency laws.</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imprisonment, possible exclusion from participation in Medicare Part D, Medicaid, and other federal healthcare programs or similar programs in other countries or jurisdictions, contractual damages, reputational harm, diminished profits and future earnings, additional reporting requirements and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Even the mere issuance of a subpoena or the fact of an investigation alone, regardless of the merit, may result in negative publicity, a drop in our share price, and other harm to our business, financial condition, and results of operations. Defending against any such actions can be costly, time consuming, and may require significant financial and personnel resources. Therefore, even if we are successful in defending against any such actions that may be brought against us, our business may be impaired.</w:t>
      </w:r>
    </w:p>
    <w:p>
      <w:pPr>
        <w:spacing w:after="0" w:line="2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legislation may increase the difficulty and cost for us to obtain marketing approval for and commercialize our drug products or product candidates and affect the prices we may obtain.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we expect there will continue to be, a number of legislative and regulatory changes and proposed changes regarding the healthcare system that could, among other things, prevent or delay marketing approval of our drug products in other jurisdictions or product candidates in the U.S. and other jurisdictions, restrict or regulate post-approval activities, and affect our ability to profitably sell any products for which we obtain marketing approval.</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there has been heightened governmental scrutiny over the manner in which manufacturers set prices for their marketed products. In the U.S., such scrutiny has resulted in several Presidential executive orders,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Congress is considering additional health reform measures.</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the state level, individual states in the U.S.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or other agency regulations, guidance or interpretations will be changed, or what the impact of such changes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our current and future operations, if any, may be. In addition, increased scrutiny by the U.S. Congress of the FDA’s approval process may significantly delay or prevent marketing approval, as well as subject us to more stringent product labeling and post-marketing testing and other requirements. We cannot predict the likelihood,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be subject to enforcement action and we may not achieve or sustain profitability. It is also possible that additional governmental action is taken in response to the COVID-19 pandemic.</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On December 26, 2020, we entered into the Pfizer Collaboration and License Agreement, pursuant to which we and Pfizer collaborate to jointly develop and commercialize relugolix in oncology and women’s health in the Co-Promotion Territory. In addition to the Pfizer Collaboration and License Agreement, we have entered into collaboration arrangements with other collaboration and commercialization partners. On August 1, 2020, we entered into a Market Access Services Agreement, as amended, with Sunovion pursuant to which, among other things, Sunovion has agreed to provide to us certain market access services with respect to the distribution and sale of ORGOVYX for prostate cancer, MYFEMBREE for uterine fibroids, and MYFEMBREE for endometriosis, if approved, in the U.S. On March 30, 2020, we entered into the Richter Development and Commercialization Agreement pursuant to which, among other things, Richter will be responsible for all commercialization activities for RYEQO for the treatment of women with uterine fibroids and relugolix combination tablet for endometriosis (if approved) in certain territories outside of the U.S. On May 5, 2022, we entered into the Accord License Agreement pursuant to which, among other things, Accord will be responsible for all commercialization activities of ORGOVYX in the European Economic Area, U.K., Switzerland, and Turkey, with the right of first negotiation if we decide to enter into licensing arrangements in countries in the Middle East, Africa and India.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a number of risks associated with our dependence on our relationships with our collaboration and commercialization partners, including:</w:t>
      </w:r>
    </w:p>
    <w:p>
      <w:pPr>
        <w:spacing w:after="0" w:line="200" w:lineRule="exact"/>
        <w:rPr>
          <w:sz w:val="20"/>
          <w:szCs w:val="20"/>
          <w:color w:val="auto"/>
        </w:rPr>
      </w:pPr>
    </w:p>
    <w:p>
      <w:pPr>
        <w:spacing w:after="0" w:line="203" w:lineRule="exact"/>
        <w:rPr>
          <w:sz w:val="20"/>
          <w:szCs w:val="20"/>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and commercialization partners may terminate their collaboration or commercialization agreements with us for reasons specified in the collaboration or commercialization agreements, including our breach;</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was to terminate its agreement with us;</w:t>
      </w:r>
    </w:p>
    <w:p>
      <w:pPr>
        <w:spacing w:after="0" w:line="20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a collaboration or commercialization partner regarding the amount and timing of resource expenditures for the commercialization, distribution, and sale of our drug products;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perform its duties under its agreement with us (e.g., its failure to comply with regulatory requirements which may disrupt its performance of its obligations under the agreement with us);</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20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or commercialization partners’ and their affiliates’ development and commercialization of products that compete directly or indirectly with our products or products candidates; for example, Accord Healthcare Ltd. is our commercialization partner responsible for the commercialization of ORGOVYX in Europe and one of its affiliates, Accord BioPharma (U.S.) sells CamceviTM, a competitive drug to ORGOVYX, in our U.S. market;</w:t>
      </w:r>
    </w:p>
    <w:p>
      <w:pPr>
        <w:spacing w:after="0" w:line="20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a collaboration or commercialization partner to prioritize other of its current or future products more highly than our drug products or our product candidates when it performs its duties;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hanging="316"/>
        <w:spacing w:after="0" w:line="274"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a collaboration or commercialization partner as to the timing, nature and extent of our development plans or distribution and sales and marketing plans; and</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returns to us, if any, under our collaboration agreements with Pfizer, Richter, and Accord depend in large part on the achievement of milestones and generation of product sales, and if Pfizer, Richter, or Accord fail to perform or satisfy their obligations under the collaboration agreements, the development and commercialization of our drug products could be delayed, hindered or may not occur and our business and prospects could be materially and adversely affected.</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spacing w:after="0" w:line="1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or manufacturing disruptions may make it difficult for us to be able to obtain materials or supplies necessary to conduct clinical studies or to manufacture and sell any of our product candidates, if approved.</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sustain our business, we need access to sufficient quantities of our product candidates to satisfy our clinical study needs and, if approved, to maintain sufficient commercial inventories of our products. If we are unable to purchase sufficient quantities of these materials or find suitable alternate materials in a timely manner, our development efforts for our product candidates may be delayed or our ability to manufacture commercial products would be limited.</w:t>
      </w:r>
    </w:p>
    <w:p>
      <w:pPr>
        <w:spacing w:after="0" w:line="1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Suppliers of key components and materials must be named in the NDA or marketing authorization application filed with the FDA, the EMA, or other regulatory authority for any product candidate for which we are seeking marketing approval, and significant delays can occur if those suppliers are not approved or the qualification of a new supplier is required. If these third parties do not perform as we expect, do not maintain their regulatory approvals or become subject to other negative circumstances, it may result in a delay in our ability to obtain approvals from the FDA or other regulatory authorities. Even after a manufacturer is qualified by the regulatory authority, the manufacturer must continue to expend time, money, and effort in the area of production and quality control to ensure full compliance with cGMP. Manufacturers are subject to regular, periodic inspections by the regulatory authorities both prior to and following initial approval. If, as a result of these inspections, a regulatory authority determines that the equipment, facilities, laboratories or processes do not comply with applicable regulations and conditions of product approval, the regulatory authority may suspend the manufacturing operations, issue import restrictions or take other cGMP or regulatory action that could affect our ability to obtain materials from such supplier. If the manufacturing operations of any single suppliers for any of our products are adversely affected or suspended, we may be unable to generate sufficient quantities of commercial or clinical supplies of product to meet demand, which could harm our business. In addition, if delivery of materials from our suppliers was interrupted for any reason, we may be unable to ship commercial products that may be approved for marketing or supply our products in development for clinical studies. In addition, some of our products and the materials that we utilize in our operations are made only at one facility, which we may not be able to replace in a timely manner and on commercially reasonable terms, or at all. Problems with any of the single suppliers we depend on, including in the event of a disaster, including an earthquake or a pandemic, equipment failure or other difficulty, may negatively impact our development and commercialization efforts. If we were to encounter any of these difficulties, our ability to provide our products, if approved, and product candidates to patients would be jeopardized.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reliant on third parties to conduct, manage, and monitor our clinical studies, and if those third parties perform in an unsatisfactory manner, it may harm our business.</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currently do not have the ability to independently conduct nonclinical studies that comply with Good Laboratory Practice (“GLP”) requirements. We rely substantially on CROs and clinical study sites to ensure the proper and timely conduct of our clinical studies, and we have limited influence over their actual performance.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rely upon CROs to monitor and manage data for our clinical programs, as well as for the execution of nonclinical studies. We control only certain aspects of our CROs’ activities. Nevertheless, we are responsible for ensuring that each of our studies is conducted in accordance with the applicable protocol, legal, regulatory, and scientific standards, and our reliance on the CROs does not relieve us of our regulatory responsibilities.</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and our CROs are required to comply with current GLP and GCP regulations and guidelines enforced by the FDA and are also required by the competent authorities of the member states of the European Economic Area and comparable foreign regulatory authorities to comply with the International Council for Harmonization guidelines for any of our product candidates that are in nonclinical and clinical development, respectively. The regulatory authorities enforce GCP regulations through periodic inspections of clinical study sponsors, CROs, and clinical study sites. Although we rely on CROs to conduct our GLP-compliant nonclinical studies and GCP-compliant clinical studies, we remain responsible for ensuring that each of our nonclinical studies and clinical studies is conducted in accordance with its investigational plan and protocol and applicable laws and regulations, and our reliance on the CROs does not relieve us of our regulatory responsibilities. If we, our CROs or clinical study sites fail to comply with current GCP requirements, the clinical data generated in our clinical studies may be deemed unreliable and the FDA or comparable foreign regulatory authorities may reject our marketing applications or require us to perform additional clinical studies before approving our marketing applications. Accordingly, if we or our CROs fail to comply with these regulations or other applicable laws, regulations or standards, or fail to recruit a sufficient number of subjects, we may be required to repeat clinical studies, which would delay the relevant regulatory approval process. Failure by our CROs to properly execute study protocols in accordance with applicable law could also create product liability and healthcare regulatory risks for us as the sponsor of those studies.</w:t>
      </w:r>
    </w:p>
    <w:p>
      <w:pPr>
        <w:spacing w:after="0" w:line="2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While we have agreements governing their activities, our CROs are not our employees, and we do not control whether or not they devote sufficient time and resources to our future clinical and nonclinical programs. These CROs may also have relationships with other commercial entities, including our competitors, for whom they may also be conducting clinical studies, or other drug development activities which could harm our competitive position. We face the risk of potential unauthorized disclosure or misappropriation of our intellectual property by CROs, which may reduce our trade secret and intellectual property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(or their own) clinical protocols or regulatory requirements or for any other reasons, our clinical studies may be extended, delayed or terminated, and we may not be able to obtain regulatory approval for, or successfully commercialize any product candidate that we develop. As a result, our financial results and the commercial prospects for any product candidate that we develop could be harmed, our costs could increase, and our ability to generate revenue could be delayed.</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and our CROs are subject to various data privacy laws in the U.S., Europe, and elsewhere that are often uncertain, contradictory, and evolving. It is possible that these data privacy laws may be interpreted and applied inconsistent with our or our CROs practices. If so, this could result in government-imposed fines or orders requiring that we or our CROs change our practices, which could adversely affect our business. Also, see the Risk Factor titled, “If we fail to comply with applicable U.S. and foreign privacy and data protection laws and regulations, we may be subject to liabilities that adversely affect our business, operations and financial performance.”</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our relationships with these CROs terminate, we may not be able to enter into arrangements with alternative CROs or do so on commercially reasonable terms or in a timely manner. Switching or adding additional CROs involves substantial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an adverse impact on our business, financial condition, and prospects.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our drug development programs, products, and product candidates. Our success depends in large part on our ability to obtain and maintain patent protection in the U.S. and other countries with respect to relugolix, MVT-602, and any future product candidates. We seek to protect our proprietary position by filing patent applications in the U.S. and abroad related to our development programs and product candidates. The patent prosecution process is expensive and time consuming, and we may not be able to file and prosecute all necessary or desirable patent applications at a reasonable cost or in a timely manner.</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patent applications that we own or have in-licensed may fail to result in issued patents with claims that protect relugolix, MVT-602 or any future product candidate in the U.S.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relugolix, MVT-602 or any future product candidate,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or companion diagnostic that we may develop. Further, if we encounter delays in regulatory approvals, the period of time during which we could market a product candidate under patent protection could be reduced.</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patent applications we hold or have in-licensed with respect to our development programs, products, and product candidates fail to issue, if their breadth or strength of protection is threatened, or if they fail to provide meaningful exclusivity for relugolix, MVT-602 or any future product candidate, it could dissuade companies from collaborating with us to develop product candidates, and threaten our ability to commercialize future drugs. Any such outcome could have a materially adverse effect on our business.</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U.S. For example, many countries restrict the patentability of methods of treatment of the human body. Publications of discoveries in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Moreover, we may be subject to a third-party pre-issuance submission of prior art to the U.S. Patent and Trademark Office (the “USPTO”) or become involved in opposition, derivation, reexamination, inter partes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the courts or patent offices in the U.S.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licensed certain intellectual property rights covering our current products and product candidates from Takeda. If, for any reason, the Takeda License Agreement is terminated or we otherwise lose those rights, it could adversely affect our business. The Takeda License Agreement imposes,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Our collaborations with Pfizer, Richter, and Accord also contain provisions for the assignment of, or a license to us for, intellectual property rights arising out of those agreements.</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relugolix, MVT-602 or any future product candidate, our competitors might be able to enter the market, which would have an adverse effect on our business.</w:t>
      </w:r>
    </w:p>
    <w:p>
      <w:pPr>
        <w:spacing w:after="0" w:line="1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or litigation alleging infringement of patents or other proprietary rights, or seeking to invalidate our patents or other proprietary rights, may delay or prevent the development of our product candidates and commercialization of our drug products and any future product candidate.</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Our commercial success depends in part on our avoiding infringement and other violations of the patents and proprietary rights of third parties.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products, product candidates or other business activities may be subject to claims of infringement of the patent and other proprietary rights of third parties. Third parties may assert that we are infringing their patents or employing their proprietary technology without authorization.</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Also, there may be third-party patents or patent applications with claims to materials, formulations, methods of manufacture or methods for treatment related to the use or manufacture of our products or product candidates. Because patent applications can take many years to issue, there may be currently pending patent applications which may later result in issued patents that our products or product candidates may infringe.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third parties may obtain patent rights in the future and claim that use of our technologies infringes upon rights. If any third-party patents were held by a court of competent jurisdiction to cover the manufacturing process of any of our products or product candidates, any molecules formed during the manufacturing process or any final product itself, the holders of any such patents may be able to block our ability to commercialize such products or product candidates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products or product candidates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Parties making claims against us may obtain injunctive or other equitable relief, which could effectively block our ability to further develop and commercialize one or more of our products or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products or product candidates, and we may do so from time to time. We may fail to obtain any of these licenses at a reasonable cost or on reasonable terms, if at all. In that event, we would be unable to further develop and commercialize one or more of our products or product candidates, which could harm our business significantly. We cannot provide any assurances that third-party patents do not exist which might be enforced against our products or product candidates, resulting in either an injunction prohibiting our sales, or, with respect to our sales, an obligation on our part to pay royalties or other forms of compensation to third parties.</w:t>
      </w:r>
    </w:p>
    <w:p>
      <w:pPr>
        <w:spacing w:after="0" w:line="12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our other intellectual property rights, which could be expensive, time consuming, and unsuccessful.</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we may be required to file legal claims, which can be expensive and time consuming.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enablement, written description, or patentable subject matter. Grounds for an unenforceability assertion could be an allegation that someone connected with prosecution of the patent withheld relevant material information from the USPTO, or made a materially misleading statement, during prosecution.</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Third parties may also raise similar validity claims before the USPTO in post-grant proceedings, such as ex parte reexaminations, inter partes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products, or current or future product candidates. Such a loss of patent protection could harm our business.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Filing, prosecuting, and defending patents covering relugolix, MVT-602, and any future product candidate throughout the world would be prohibitively expensive.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ongoing conflict in Ukraine and related sanctions could significantly devalue our patents and patent applications in Ukraine, the Russian Federation and certain other countries and regions, such as Belarus and Eurasia. The ongoing conflict in Ukraine, the recent Russian decrees and other countries’ sanctions against the Russian Federation may also significantly limit our ability to enforce our patents in Ukraine, the Russian Federation, and certain other countries. We cannot predict when or how this situation will change.</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Because we rely on third parties to manufacture our drug products and other clinical study materials, and any future product candidates, and we expect to collaborate with third parties on the development of relugolix, MVT-602, and any future product candidates, we must, at times, share trade secrets with them. We also conduct joint research and development programs that may require us to share trade secrets under the terms of our partnerships, market access, distribution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Being a Controlled Company</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agreements with Sumitovant, our majority shareholder, and with Sumitovant’s parent, Sumitomo Pharma, and their affiliates, including Sunovion, that may be perceived to create conflicts of interest which, if other investors perceive that Sumitovant or Sumitomo Pharma will not act in the best interests of all of our shareholders, may affect the price of our common shares and have other effects on our company.</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There are a number of relationships that may give rise to certain conflicts of interest between Sumitovant and Sumitomo Pharma, and their affiliates, on the one hand, and the other investors of our common shares and us, on the other hand. We are party to the Sumitomo Pharma Loan Agreement that creates restrictions, including limiting or restricting our ability to take specific actions, such as raising additional capital, incurring additional debt, making capital expenditures, or declaring dividends. In addition, we are party to an Investor Rights Agreement with Sumitovant and Sumitomo Pharma that, although designed in part to provide protections for our minority shareholders, also provides rights to Sumitovant and Sumitomo Pharma, such as the ability of Sumitomo Pharma to appoint directors on our board, to maintain their share ownership percentage in our company, and together with an information sharing agreement we have with Sumitovant, to provide Sumitovant with certain information and give them access to certain of our records. Further, we are a party to a Market Access Services Agreement with Sunovion, a subsidiary of Sumitomo Pharma, pursuant to which Sunovion provides certain market access services with respect to the distribution and sale of ORGOVYX and MYFEMBREE in the U.S. We may enter into additional agreements with Sumitovant or Sumitomo Pharma or their affiliates in the future. Sumitovant and Sumitomo Pharma and its affiliates may have interests which differ from our interests or those of the minority holders of our common shares. Any material transaction between us and Sumitomo Pharma and its affiliates is subject to our related party transaction policy and the Investor Rights Agreement, which requires prior approval of such transaction by our Audit Committee composed of three independent directors. To the extent we fail to appropriately deal with any such conflicts of interests, it could negatively impact our reputation and ability to raise additional funds and the willingness of counterparties to conduct business with us, all of which could have an adverse effect on our business, financial condition, results of operations, and cash flows, and on the market price of our common shares. Further, our agreements with Sumitovant, Sumitomo Pharma and Sunovion may result in unanticipated risks or other unintended consequences on our business and on investor perception that could have a significant impact on the market price of our common shares.</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applicable rules of the New York Stock Exchange (“NYSE”) and, as a result, qualify for exemptions from certain corporate governance requirements. If we rely on these exemptions, our shareholders will not have the same protections afforded to shareholders of companies that are subject to such requirements.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a “controlled company” within the meaning of the NYSE corporate governance requirements. Under these rules, a “controlled company” may elect not to comply with certain corporate governance requirements. We have elected to use certain of these exemptions and we may continue to use all or some of these exemptions in the future. As a result, you may not have the same protections afforded to shareholders of companies that are subject to all of the NYSE corporate governance requirements.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 and Our Shareholders Related to Our Being a Foreign Corporation</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an exempted company limited by shares incorporated under the laws of Bermuda and it may be difficult for our shareholders to enforce judgments against us or our directors and executive officers.</w:t>
      </w:r>
    </w:p>
    <w:p>
      <w:pPr>
        <w:spacing w:after="0" w:line="1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Bermuda. As a result, the rights of our shareholders are governed by Bermuda law and our memorandum of association and bye-laws. The rights of shareholders under Bermuda law may differ from the rights of shareholders of companies incorporated in another jurisdiction. It may be difficult for investors to enforce in the U.S. judgments obtained in U.S. courts against us based on the civil liability provisions of the U.S. securities laws. It is doubtful whether courts in Bermuda will enforce judgments obtained in other jurisdictions, including the U.S., against us or our directors or officers under the securities laws of those jurisdictions or entertain actions in Bermuda against us or our directors or officers under the securities laws of other jurisdictions.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Bermuda law differs from the laws in effect in the U.S. and may afford less protection to our shareholders.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in which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in which an act requires the approval of a greater percentage of the company’s shareholders than those who actually approved it.</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has waived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U.S., particularly the State of Delaware. Therefore, our shareholders may have more difficulty protecting their interests than would shareholders of a corporation incorporated in a jurisdiction within the 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shares.</w:t>
      </w:r>
    </w:p>
    <w:p>
      <w:pPr>
        <w:spacing w:after="0" w:line="15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Common shares may be offered or sold in Bermuda only in compliance with the provisions of the Companies Act and the Bermuda Investment Business Act 2003, which regulates the sale of securities in Bermuda. In addition, the Bermuda Monetary Authority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NYSE. Additionally, we have sought and have obtained a specific permission from the BMA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without the need for prior approval of such issue or transfer. The general permission or the specific permission would cease to apply if we were to cease to be listed on the NYSE or another appointed stock exchange.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enacted in Bermuda as to economic substance may affect our operations.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Economic Substance Act 2018 of Bermuda, as amended (the “Economic Substance Act”) that came into force on January 1, 2019, a registered entity other than an entity which is resident for tax purposes in certain jurisdictions outside Bermuda (a “non-resident entity”) that carries on as a business any one or more of the “relevant activities” referred to in the Economic Substance Act must comply with economic substance requirements. The Economic Substance Act may require in-scope Bermuda entities which are engaged in such “relevant activities” to be directed and managed in Bermuda, have an adequate level of qualified employees in Bermuda, incur an adequate level of annual expenditure in Bermuda, maintain physical offices and premises in Bermuda or perform core income-generating activities in Bermuda. The list of “relevant activities” includes carrying on any one or more of: banking, insurance, fund management, financing, leasing, headquarters, shipping, distribution and service centre, intellectual property and holding entities.</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the Economic Substance Act currently, for so long as we are a non-resident entity, we are not required to satisfy any such economic substance requirements other than providing the Bermuda Registrar of Companies annually information on the jurisdiction in which it claims to be resident for tax purposes together with sufficient evidence to support that tax residence. We currently do not anticipate material impact on our business or operations from the Economic Substance Act. However, since such legislation is new and remains subject to further clarification and interpretation, it is not currently possible to ascertain the precise impact of the Economic Substance Act on us. If we ceased to be a non-resident entity, we may be unable to comply with the Economic Substance Act or may have to restructure our business to comply with the Economic Substance Act, either of which may have a material adverse effect on our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unanticipated tax liabilities and higher effective tax rates.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(Myovant Sciences Ltd.) are incorporated under the laws of Bermuda, where we are not subject to any income or withholding taxes. However, we are centrally managed and controlled in the U.K., and under U.K. tax law, a company which is centrally managed and controlled in the U.K. is regarded as resident in the U.K. for taxation purposes. Accordingly, we expect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be subject to U.K. taxation on our income and gains, and subject to U.K.’s controlled foreign company rules, in respect of which a tax liability could arise on certain profits of controlled companies to which no exemption applies.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may be treated as a dual resident company for U.K. tax purposes. This could have the effect of denying us the right to claim certain reliefs from U.K. tax, although we do not anticipate any such circumstances arising at the present time.</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(or our subsidiary companies) may also become subject to income, withholding or other taxes in certain jurisdictions by reason of our activities and operations, for example, as a result of being considered to have a permanent establishment in a jurisdiction other than the one in which we are resident for tax purposes.</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It is also possible that taxing authorities in any jurisdictions where we have a legal presence or otherwise operate could assert that we are subject to greater taxation than we currently anticipate. Any such additional tax liability could adversely affect our results of operations.</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intended tax effects of our corporate structure and intercompany arrangements depend on the application of the tax laws of various jurisdictions and on how we operate our business.</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currently have subsidiaries in the U.K., Switzerland, Ireland, and the U.S. If we succeed in growing our business, we expect to conduct increased operations through our subsidiaries in these and possibly other countries and tax jurisdictions. In part, the business of our group companies is conducted through intercompany services and distribution agreements.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corporate structure and intercompany transactions, including the manner in which we develop and use our intellectual property, are organized so that we can achieve our business objectives in a tax-efficient manner and in compliance with applicable transfer pricing rules and regulations. Where two or more affiliated companies are located in different countries or tax jurisdictions, the tax laws and regulations of each country generally will require that transfer prices be the same as those between unrelated companies dealing at arm’s length and that appropriate documentation be maintained to support the transfer prices. While we believe that we operate in compliance with applicable transfer pricing laws and intend to continue to do so, our transfer pricing policies and procedures are not binding on applicable tax authorities.</w:t>
      </w:r>
    </w:p>
    <w:p>
      <w:pPr>
        <w:spacing w:after="0" w:line="1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If tax authorities in any of the countries in which we operate were to successfully challenge our transfer prices as not reflecting arm’s length terms, or the facts of aspects such as our operations, management or intellectual property ownership not being in accordance with our documented or intended transfer pricing positions, they could require us to adjust our transfer prices and/or reallocate our income to reflect revised transfer pricing or profit allocations, which could result in a higher tax liability to us. If the country from which the income is reallocated does not agree with the reallocation, both countries could tax the same income, potentially resulting in double taxation, subject however to there being in place a tax treaty between the relevant jurisdictions requiring the respective tax authorities to enter into a mutual agreement procedure (“MAP”). Even in this case, MAP processes may still result in the proposed reallocation of income being fully or partly upheld, and they typically take a number of years to conclude, resulting in uncertainty of outcome in the meantime.</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judgment is required in evaluating our tax positions and determining our provision for income taxes. During the ordinary course of business, there are many transactions and calculations for which the ultimate tax determination may be uncertain. Also, tax laws are dynamic, and our tax liabilities could be adversely affected by changes in foreign currency exchange rates or by changes in relevant tax, accounting, and other laws, regulations, principles, and interpretations. In addition, our effective tax rate could be adversely affected if tax authority interpretations, for example, on audit or in seeking clearances or rulings, differ from our own.</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application of tax laws can be subject to diverging and sometimes conflicting interpretations by tax authorities of different jurisdictions. It is not uncommon for taxing authorities in different countries to have conflicting views, for instance, with respect to, among other things, the manner in which the arm’s length standard is applied for transfer pricing purposes, or with respect to the valuation of intellectual property.</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tax authorities were, for example, to reallocate income to a higher tax jurisdiction, subject our income to double taxation, disagree with positions taken on deductibility, and/or assess interest and penalties, it would increase our consolidated tax liability, which could adversely affect our financial condition, results of operations, and cash flows.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assess the impact of changes in tax laws on our business and may determine that changes to our structure, practice, tax positions or the manner in which we conduct our business are necessary in light of such changes and developments in the tax laws of jurisdictions in which we operate. Such changes may nevertheless be ineffective in avoiding an increase in our consolidated tax liability, which could adversely affect our financial condition, results of operations and cash flows.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reduce our net income in future periods.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tax position could be adversely impacted by changes in tax rates, tax laws, tax practice, tax treaties or tax regulations or changes in the interpretation thereof by the tax authorities in Europe (including the U.K., Switzerland and Ireland), the U.S., Bermuda, and other jurisdictions. It could also be affected at a future date by certain changes resulting from the Organization for Economic Co-operation and Development (“OECD”) and their action plans on Base Erosion and Profit Shifting (“BEPS”), as well as other initiatives led by the OECD or the EC. The OECD is working on proposals, commonly referred to as BEPS 2.0, which, if implemented, would make important changes to the international tax system, by allocating taxing rights in respect of certain profits of multinational enterprises above a fixed profit margin to the jurisdictions within which they carry on business (subject to certain revenue threshold rules which we do not currently meet but may meet in the future) and imposing a minimum effective tax rate on certain multinational enterprises.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actual effective tax rate may vary from our expectation and that variance may be material. A number of factors may increase our future effective tax rates, including: (1) the jurisdictions in which profits are earned and determined to be attributable for tax purposes; (2) the resolution of issues arising from any future tax audits with tax authorities resulting in liabilities in excess of those for which we have previously provided; (3) changes in the valuation of our deferred tax assets and liabilities; (4) increases in expenses not deductible for tax purposes, including transaction costs and impairments of goodwill in connection with acquisitions; (5) changes in the taxation of share-based compensation; (6) changes in tax laws or the interpretation of such tax laws, and changes in generally accepted accounting principles of relevant jurisdictions; and (7) challenges to the transfer pricing policies related to our structure.</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 holders that own 10% or more of the vote or value of our common shares may suffer adverse tax consequences because we and our non-U.S. subsidiaries are expected to be characterized as “controlled foreign corporations” (“CFCs”), under Section 957(a) of the U.S. Internal Revenue Code of 1986, as amended (the “Code”).</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 non-U.S. corporation is considered a CFC if more than 50% of (1) the total combined voting power of all classes of stock of such corporation entitled to vote, or (2) the total value of the stock of such corporation, is owned (directly or indirectly), or is considered as owned by applying certain constructive ownership rules, by U.S. shareholders (U.S. persons who own stock representing 10% or more of the vote or value of all outstanding stock of such non-U.S. corporation) on any day during the taxable year of such non-U.S. corporation. Certain U.S. shareholders of a CFC generally are required to include currently in gross income such shareholders’ share of the CFC’s “Subpart F income”, a portion of the CFC’s earnings to the extent the CFC holds certain U.S. property, and a portion of the CFC’s “global intangible low-taxed income” (as defined under Section 951A of the Code). Such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 “Global intangible low-taxed income” may include most of the remainder of a CFC’s income over a deemed return on its tangible assets.</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believe that we and our non-U.S. subsidiaries were classified as CFCs in the taxable year ended on March 31, 2022. For any U.S. holders who hold 10% or more of the vote or value of our common shares directly or indirectly, this may result in adverse U.S. federal income tax consequences, such as current U.S. taxation of Subpart F income and of any such shareholder’s share of our accumulated non-U.S. earnings and profits (regardless of whether we make any distributions), taxation of amounts treated as global intangible low-taxed income under Section 951A of the Code with respect to such shareholder, and being subject to certain reporting requirements with the U.S. Internal Revenue Service (“IRS”). Any such U.S. holder who is an individual generally would not be allowed certain tax deductions or foreign tax credits that would be allowed to a U.S. holder that is a U.S. corporation. Failure to comply with these reporting and tax paying obligations may subject such U.S. holder to significant monetary penalties and may prevent the statute of limitations from starting with respect to such U.S. holder’s U.S. federal income tax return for the year for which reporting was due. If you are a U.S. holder who holds 10% or more of the vote or value of our common shares, you should consult your own tax advisors regarding the U.S. tax consequences of acquiring, owning, or disposing our common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 of our common shares may suffer adverse tax consequences if we are characterized as a passive foreign investment company.</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Generally, if, for any taxable year, at least 75% of our gross income is passive income, or at least 50% of the value of our assets is attributable to assets that produce passive income or are held for the production of passive income, including cash, we would be characterized as a passive foreign investment company (“PFIC”) for U.S. federal income tax purposes. For purposes of these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tests, passive income includes dividends, interest, and gains from the sale or exchange of investment property and rents and royalties other than rents and royalties which are received from unrelated parties in connection with the active conduct of a trade or business. Additionally, a look-through rule generally applies with respect to 25% or more owned subsidiaries. If we are characterized as a PFIC, U.S. holders of our common shares may suffer adverse tax consequences, including having gains realized on the sale of our common shares treated as ordinary income rather than capital gain, the loss of the preferential tax rate applicable to dividends received on our common shares by individuals who are U.S. holders, and having interest charges apply to distributions by us and the proceeds of sales of our common shares. In addition, special information reporting may be required.</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from time to time. The 50% passive asset test described above is generally based on the fair market value of each asset, with the value of goodwill and going concern value determined in large part by reference to the market value of our common shares, which may be volatile. With respect to the taxable year that ended on March 31, 2022, we believe that we were not a PFIC. However, we cannot predict whether we will or will not be classified as a PFIC in the current or future taxable years because the PFIC tests are based upon the average value of our assets, including any goodwill and going concern value, and the nature and composition of our income and assets, in each taxable year, which cannot be known at this time. Because the determination of whether we are a PFIC for any taxable year is a fact-intensive determination made annually after the end of each taxable year, and because certain aspects of the PFIC rules are uncertain, we therefore cannot provide any assurances regarding our PFIC status for the current or future taxable years.</w:t>
      </w:r>
    </w:p>
    <w:p>
      <w:pPr>
        <w:spacing w:after="0" w:line="217"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The implementation of our structures and arrangements has included consideration of potential to mitigate the possibility that we will be classified as a PFIC. There can be no assurance that the IRS will not successfully challenge these structures and arrangements, resulting in an adverse impact on the determination of whether we are classified as a PFIC.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funds may cause dilution to existing shareholders and/or may restrict our operations.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that we raise additional funds by issuing equity or convertible debt securities, our existing shareholders’ ownership interest may experience substantial dilution, and the terms of these securities may include liquidation or other preferences that adversely affect the rights of a common shareholder. Any agreements for future debt or preferred equity financings, if available, may involve covenants limiting or restricting our ability to take specific actions, such as raising additional capital, incurring additional debt, making capital expenditures, or declaring dividends.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attract and retain key personnel.</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expect to hire additional employees. The market for talent in our industry is very competitive. Many of the other pharmaceutical companies we compete against for qualified personnel have greater financial and other resources, more favorable risk profiles and a longer operating history in the pharmaceutical industry than we do. They also may provide more diverse opportunities and better chances for career advancement. Some of these opportunities may be more appealing to high-quality candidates than what we have to offer. It is particularly difficult to recruit and hire new employees during the COVID-19 pandemic as conducting interviews remotely makes it more difficult to ensure we are recruiting and hiring high-quality employees, and the uncertainty created by the COVID-19 pandemic makes it less likely potential candidates will be willing to leave a stable job to explore a new opportunity.</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industry has experienced a high rate of turnover of management personnel in recent years. We are highly dependent on the skills and leadership of our management team and key employees. Our senior management and key employees may terminate their positions with us at any time. If we lose one or more members of our senior management team or key employees or unable to attract and retain other personnel to accomplish our business objectives, our ability to successfully implement our business strategies could be seriously harmed.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plan to expand our organization, and we may experience difficulties in managing this growth, which could disrupt our operations.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continue to expand our organization and hire additional employees. Our management is expected to have increasing responsibilities to identify, recruit, maintain, motivate, and integrate additional employees, consultants and contractors which may divert a disproportionate amount of its time and attention away from our day-to-day activities. The expected growth may also divert financial resources from other projects. If our management is unable to effectively manage our growth, our expenses may increase more than expected, our ability to generate or grow net product revenue could be adversely affected, and we may not be able to implement our business strategies. As a result, our future financial performance and 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ability to complete clinical development, obtain regulatory approval, and commercialize our product candidates or any potential future product candidate may be adversely affected.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inflation, interest rates and supply chain constraints.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could negatively impact us by increasing our cost of labor (through higher wages), commercial support, manufacturing and clinical supply expenditures. Recent supply chain constraints have led to higher inflation, which if sustained could have a negative impact on our operations. Interest rates, the liquidity of the credit markets and the volatility of the capital markets could also affect the operation of our business and our ability to raise capital in order to fund our operations, if needed. Similarly, these macroeconomic factors could affect the ability of our third-party suppliers and manufacturers to manufacture clinical trial materials required for our product candidates, as well as commercial product to support our commercialization activities of our approved products. If our costs become subject to significant inflationary pressures, we may not be able to fully offset such higher costs with increased revenues. Our inability or failure to do so could harm our business, financial condition, and results of operations.</w:t>
      </w:r>
    </w:p>
    <w:p>
      <w:pPr>
        <w:spacing w:after="0" w:line="13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Potential product liability lawsuits against us could cause us to incur substantial liabilities and could impact ongoing and planned clinical studies as well as limit commercialization of any products that we may develop.</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use of any of our product candidates in clinical studies and the sale of any products for which we obtain marketing approval exposes us to the risk of product liability claims. Product liability claims might be brought against us by regulatory or governmental agencies, consumers, healthcare providers, other pharmaceutical companies or others taking or otherwise coming into contact with our products or product candidates. On occasion, large monetary judgments have been awarded in class action lawsuits in which drugs have had unanticipated adverse effects. If we cannot successfully defend against product liability claims, we could incur substantial liabilities and costs.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regardless of merit or eventual outcome, product liability claims may result in:</w:t>
      </w:r>
    </w:p>
    <w:p>
      <w:pPr>
        <w:spacing w:after="0" w:line="200" w:lineRule="exact"/>
        <w:rPr>
          <w:sz w:val="20"/>
          <w:szCs w:val="20"/>
          <w:color w:val="auto"/>
        </w:rPr>
      </w:pPr>
    </w:p>
    <w:p>
      <w:pPr>
        <w:spacing w:after="0" w:line="203" w:lineRule="exact"/>
        <w:rPr>
          <w:sz w:val="20"/>
          <w:szCs w:val="20"/>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commercialize our products or any future products;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and significant negative media attention;</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participants from our clinical studies;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related litigation;</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or any future products, if approved for commercial sale; and</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net product revenue.</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product liability and clinical study insurance we currently carry, and any additional product liability and clinical study insurance coverage we acquire in the future, may not be sufficient to reimburse us for any expenses or losses we may suffer. Moreover, insurance coverage is becoming increasingly expensive and in the future, we may not be able to maintain insurance coverage at commercially reasonable terms or in adequate amounts to protect us against losses due to liability. A successful product liability claim or series of claims brought against us could cause our common share price to decline and, if judgments exceed our insurance coverage, could adversely affect our results of operations and business, including preventing or limiting the commercialization of any product candidates we develop.</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social media platforms presents risks of inappropriate or harmful disclosures which could harm our business.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believe that our potential patient population is active on social media. Social media practices in the pharmaceutical and biotechnology industries are evolving, which creates uncertainty and risk of noncompliance with regulations applicable to our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business. For example, patients may use social media platforms to comment on the effectiveness of, or adverse experiences with, a product or a product candidate, which could result in reporting obligations. In addition, there is a risk of inappropriate disclosure of sensitive information or negative or inaccurate posts or comments about us, our products, or our product candidates on any social media platform. If any of these events were to occur or we otherwise fail to comply with applicable regulations, we could incur liability, face restrictive regulatory actions or incur other harm to our business.</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3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and our future operating results could fall below expectations. The market price of our common shares has been and is likely to continue to be highly volatile, and you may lose some or all of your investment.</w:t>
      </w:r>
    </w:p>
    <w:p>
      <w:pPr>
        <w:spacing w:after="0" w:line="1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market price of our common shares has been and is likely to continue to be highly volatile and may be subject to significant fluctuations in response to a variety of factors. Our quarterly and annual operating results may fluctuate significantly in the future. Any future net product revenue will depend on the successful commercialization and sales of our drug products and product candidates that receive marketing approval. Any future regulatory milestones, sales milestones and royalty payments we are eligible to earn under the terms of our collaboration agreements with Pfizer, Richter, Accord, or any potential future collaboration and license agreements, if any, will depend on the achievement of the underlying milestone event or level of sales activity. Furthermore, our operating results may fluctuate due to a variety of other factors, many of which are outside of our control and may be difficult to predict, including:</w:t>
      </w:r>
    </w:p>
    <w:p>
      <w:pPr>
        <w:spacing w:after="0" w:line="355" w:lineRule="exact"/>
        <w:rPr>
          <w:sz w:val="20"/>
          <w:szCs w:val="20"/>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level of demand, and net revenues for our products, which may vary significantly as they are launched and compete for position in the marketplace;</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regulatory milestones, commercial launch milestones, sales milestones, and/or royalties that we are eligible to earn pursuant to our collaboration or commercialization agreements;</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adequate reimbursement is available from government and private payers such as Medicare Part D, Medicaid, the Department of Veterans Affairs, the Department of Defense, pharmacy benefit managers, health plans, self-insured organizations, insurance companies and other plan administrators with respect to our drug products and product candidates, if approved, and the competitive response from existing and potential future therapeutic approaches that compete with our approved products and our product candidates;</w:t>
      </w:r>
    </w:p>
    <w:p>
      <w:pPr>
        <w:spacing w:after="0" w:line="20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funding, or investor perception that we may be unable to obtain additional funding, if needed, or funding on desirable terms;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the commencement, enrollment, and ultimate completion of our clinical studies;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results of clinical studies of any of our product candidates or those of our competitors;</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submitting an NDA or similar application for any of our product candidates and any adverse development or perceived adverse development with respect to the FDA or other regulatory authority’s review of that NDA or similar application, as the case may be;</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and commercialize any of our current or future product candidates;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640" w:right="2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or other countries or jurisdictions applicable to any of our products or current or future product candidates;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or findings;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adequate product supply for any of our products or current or future product candidates, or the inability to do so at acceptable prices;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a qualified sales force;</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establish and maintain commercial capabilities and expertise including product marketing, sales, trade and distribution, pricing, market access, data analytics and insights, and other commercial operations functions;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or perceived adverse developments with respect to vendors on which we rely, including CMOs, CROs and third-party logistics providers;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services or technologies by our competitors;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projections we may provide to the public;</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 over financial reporting;</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estimates and projections of the investor community;</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 and the issuance of new or changed securities analysts’ reports or recommendations on us or our competitors;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or perceived adverse developments with respect to our manufacturing, collaboration and alliance partners and affiliates, including Takeda, Excella, Sumitovant, Sumitomo Pharma, Sunovion, Pfizer, Richter, and/or Accord;</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financial results or investment recommendations by securities analysts;</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 and disputes or other developments relating to our proprietary rights, including patents, litigation matters, and our ability to obtain patent protection for our technologies;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our management or other key personnel;</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common shares;</w:t>
      </w:r>
    </w:p>
    <w:p>
      <w:pPr>
        <w:spacing w:after="0" w:line="243"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a substantial number of our common shares in the public market, by any of our significant shareholders, or the perception in the market that the holders of a large number of our common shares intend to sell or purchase common shares;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our common shares by our executive officers or members of our board of directors;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shares of our common shares, or the perception that such issuances may occur;</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coverage in the media or securities analyst reports, whether accurate or not;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left="640" w:hanging="316"/>
        <w:spacing w:after="0" w:line="259"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our relationships with Sumitomo Pharma, Sumitovant, Sunovion and/or their respective affiliates, or actions taken or omission of actions with respect to the Sumitomo Pharma Loan Agreement, the Investor Rights Agreement, the Market Access Services Agreement or under the other agreements we entered with Sumitomo Pharma, Sumitovant, Sunovion and their respective affiliates;</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subpoenas or investigative demands, or the public fact of an investigation by a government agency, whether meritorious or not;</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liquidity of our common shares;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our business, and our majority shareholder;</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social, political, economic, industry, and market conditions in the U.S. and around the world (including wars and other forms of conflict, such as the conflict in Ukraine);</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natural or man-made catastrophic events, including the COVID-19 pandemic; and</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00" w:lineRule="exact"/>
        <w:rPr>
          <w:sz w:val="20"/>
          <w:szCs w:val="20"/>
          <w:color w:val="auto"/>
        </w:rPr>
      </w:pP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securities analysts or investors for any period. If our operating results fall below the expectations of analysts or investors or below any forecasts we may provide to the public, or if the forecasts we provide to the public are below the expectations of securities analysts or investors, the price of our common shares could decline substantially. Such a share price decline could occur even when we have met any previously publicly stated operating results and/or earnings guidance that we may provide.</w:t>
      </w:r>
    </w:p>
    <w:p>
      <w:pPr>
        <w:spacing w:after="0" w:line="1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proper and effective internal control over financial reporting and disclosure controls and procedures, investor confidence in our company and, as a result, the value of our common shares, may be adversely affected.</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assess the effectiveness of our internal control over financial reporting annually and disclosure controls and procedures quarterly. In particular, we must perform system and process evaluation and testing of our internal control over financial reporting to allow management to report on the effectiveness of our internal control over financial reporting, as required by Section 404 of the Sarbanes-Oxley Act. This assessment includes disclosure of any material weaknesses identified by our management in our internal control over financial reporting. In addition, we are also required to include in our Annual Report on Form 10-K an attestation report on internal control over financial reporting issued by our independent registered public accounting firm. If we have a material weakness, we would receive an adverse opinion regarding our internal control over financial reporting from our independent registered public accounting firm. If we are unable to conclude that our internal control over financial reporting is effective, we could lose investor confidence in the accuracy and completeness of our financial reports, the market price of our common shares could decline, and we could be subject to sanctions or investigations by the NYSE, the SEC or other regulatory authorities. Failure to remedy any material weakness in our internal control over financial reporting, or to implement or maintain other effective control systems required of public companies, could also negatively impact our ability to access the capital markets.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effective disclosure controls and procedures enable us to make timely and accurate disclosure of financial and non-financial information that we are required to disclose. If our disclosure controls and procedures are ineffective in the future, we may be unable to report our financial results or make other disclosures accurately on a timely basis, which could cause our reported financial results or other disclosures to be materially misstated and result in the loss of investor confidence and cause the market price of our common shares to decline.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our common share price could subject us to securities class action litigation.</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factors, as well as general economic, political, regulatory, and market conditions, may negatively affect the market price of our common shares, regardless of our actual operating performance.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following periods of volatility in the market, securities class-action litigation has often been instituted against companies. This risk is especially relevant for us because biotechnology and pharmaceutical companies have experienced significant share price volatility in recent years.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shares in the foreseeable future, capital appreciation, if any, would be your sole source of gain.</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shares. We currently anticipate that we will retain future earnings, if any, for the development, operation, and expansion of our business and do not anticipate declaring or paying any cash dividends for the foreseeable future. We are also subject to Bermuda legal constraints that may affect our ability to pay dividends on our common shares and make other payments. Additionally, our ability to pay dividends is currently restricted by the terms of the Sumitomo Pharma Loan Agreement. As a result, capital appreciation, if any, of our common shares would be your sole source of gain on an investment in our common shares for the foreseeable future.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20" w:type="dxa"/>
            <w:vAlign w:val="bottom"/>
            <w:gridSpan w:val="11"/>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Schedule /</w:t>
            </w:r>
          </w:p>
        </w:tc>
        <w:tc>
          <w:tcPr>
            <w:tcW w:w="12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1"/>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11"/>
            <w:vMerge w:val="continue"/>
          </w:tcPr>
          <w:p>
            <w:pPr>
              <w:spacing w:after="0"/>
              <w:rPr>
                <w:sz w:val="16"/>
                <w:szCs w:val="16"/>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Borders>
              <w:bottom w:val="single" w:sz="8" w:color="3100FE"/>
            </w:tcBorders>
            <w:gridSpan w:val="3"/>
          </w:tcPr>
          <w:p>
            <w:pPr>
              <w:spacing w:after="0" w:line="184" w:lineRule="exact"/>
              <w:rPr>
                <w:rFonts w:ascii="Times New Roman" w:cs="Times New Roman" w:eastAsia="Times New Roman" w:hAnsi="Times New Roman"/>
                <w:sz w:val="18"/>
                <w:szCs w:val="18"/>
                <w:color w:val="3100FE"/>
                <w:w w:val="96"/>
              </w:rPr>
            </w:pPr>
            <w:hyperlink r:id="rId103">
              <w:r>
                <w:rPr>
                  <w:rFonts w:ascii="Times New Roman" w:cs="Times New Roman" w:eastAsia="Times New Roman" w:hAnsi="Times New Roman"/>
                  <w:sz w:val="18"/>
                  <w:szCs w:val="18"/>
                  <w:color w:val="3100FE"/>
                  <w:w w:val="96"/>
                </w:rPr>
                <w:t>Certificate of Incorporation.</w:t>
              </w:r>
            </w:hyperlink>
          </w:p>
        </w:tc>
        <w:tc>
          <w:tcPr>
            <w:tcW w:w="3100" w:type="dxa"/>
            <w:vAlign w:val="bottom"/>
            <w:gridSpan w:val="10"/>
          </w:tcPr>
          <w:p>
            <w:pPr>
              <w:spacing w:after="0"/>
              <w:rPr>
                <w:sz w:val="16"/>
                <w:szCs w:val="16"/>
                <w:color w:val="auto"/>
              </w:rPr>
            </w:pPr>
          </w:p>
        </w:tc>
        <w:tc>
          <w:tcPr>
            <w:tcW w:w="920" w:type="dxa"/>
            <w:vAlign w:val="bottom"/>
          </w:tcPr>
          <w:p>
            <w:pPr>
              <w:jc w:val="center"/>
              <w:ind w:right="39"/>
              <w:spacing w:after="0" w:line="184" w:lineRule="exact"/>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333-213891</w:t>
            </w:r>
          </w:p>
        </w:tc>
        <w:tc>
          <w:tcPr>
            <w:tcW w:w="11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09/30/2016</w:t>
            </w:r>
          </w:p>
        </w:tc>
        <w:tc>
          <w:tcPr>
            <w:tcW w:w="0" w:type="dxa"/>
            <w:vAlign w:val="bottom"/>
          </w:tcPr>
          <w:p>
            <w:pPr>
              <w:spacing w:after="0"/>
              <w:rPr>
                <w:sz w:val="1"/>
                <w:szCs w:val="1"/>
                <w:color w:val="auto"/>
              </w:rPr>
            </w:pPr>
          </w:p>
        </w:tc>
      </w:tr>
      <w:tr>
        <w:trPr>
          <w:trHeight w:val="205"/>
        </w:trPr>
        <w:tc>
          <w:tcPr>
            <w:tcW w:w="8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gridSpan w:val="13"/>
          </w:tcPr>
          <w:p>
            <w:pPr>
              <w:spacing w:after="0" w:line="205" w:lineRule="exact"/>
              <w:rPr>
                <w:rFonts w:ascii="Times New Roman" w:cs="Times New Roman" w:eastAsia="Times New Roman" w:hAnsi="Times New Roman"/>
                <w:sz w:val="18"/>
                <w:szCs w:val="18"/>
                <w:color w:val="3100FE"/>
              </w:rPr>
            </w:pPr>
            <w:hyperlink r:id="rId104">
              <w:r>
                <w:rPr>
                  <w:rFonts w:ascii="Times New Roman" w:cs="Times New Roman" w:eastAsia="Times New Roman" w:hAnsi="Times New Roman"/>
                  <w:sz w:val="18"/>
                  <w:szCs w:val="18"/>
                  <w:color w:val="3100FE"/>
                </w:rPr>
                <w:t>Memorandum of Association.</w:t>
              </w:r>
            </w:hyperlink>
          </w:p>
        </w:tc>
        <w:tc>
          <w:tcPr>
            <w:tcW w:w="920" w:type="dxa"/>
            <w:vAlign w:val="bottom"/>
          </w:tcPr>
          <w:p>
            <w:pPr>
              <w:jc w:val="center"/>
              <w:ind w:right="39"/>
              <w:spacing w:after="0" w:line="205" w:lineRule="exact"/>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333-213891</w:t>
            </w:r>
          </w:p>
        </w:tc>
        <w:tc>
          <w:tcPr>
            <w:tcW w:w="11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3.2</w:t>
            </w:r>
          </w:p>
        </w:tc>
        <w:tc>
          <w:tcPr>
            <w:tcW w:w="1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09/30/2016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3100FE"/>
          </w:tcPr>
          <w:p>
            <w:pPr>
              <w:spacing w:after="0" w:line="20" w:lineRule="exact"/>
              <w:rPr>
                <w:sz w:val="1"/>
                <w:szCs w:val="1"/>
                <w:color w:val="auto"/>
              </w:rPr>
            </w:pPr>
          </w:p>
        </w:tc>
        <w:tc>
          <w:tcPr>
            <w:tcW w:w="280" w:type="dxa"/>
            <w:vAlign w:val="bottom"/>
            <w:shd w:val="clear" w:color="auto" w:fill="3100FE"/>
          </w:tcPr>
          <w:p>
            <w:pPr>
              <w:spacing w:after="0" w:line="20" w:lineRule="exact"/>
              <w:rPr>
                <w:sz w:val="1"/>
                <w:szCs w:val="1"/>
                <w:color w:val="auto"/>
              </w:rPr>
            </w:pPr>
          </w:p>
        </w:tc>
        <w:tc>
          <w:tcPr>
            <w:tcW w:w="740" w:type="dxa"/>
            <w:vAlign w:val="bottom"/>
            <w:gridSpan w:val="2"/>
            <w:shd w:val="clear" w:color="auto" w:fill="3100F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3100FE"/>
            </w:tcBorders>
            <w:gridSpan w:val="6"/>
          </w:tcPr>
          <w:p>
            <w:pPr>
              <w:spacing w:after="0" w:line="205" w:lineRule="exact"/>
              <w:rPr>
                <w:rFonts w:ascii="Times New Roman" w:cs="Times New Roman" w:eastAsia="Times New Roman" w:hAnsi="Times New Roman"/>
                <w:sz w:val="18"/>
                <w:szCs w:val="18"/>
                <w:color w:val="3100FE"/>
                <w:w w:val="97"/>
              </w:rPr>
            </w:pPr>
            <w:hyperlink r:id="rId105">
              <w:r>
                <w:rPr>
                  <w:rFonts w:ascii="Times New Roman" w:cs="Times New Roman" w:eastAsia="Times New Roman" w:hAnsi="Times New Roman"/>
                  <w:sz w:val="18"/>
                  <w:szCs w:val="18"/>
                  <w:color w:val="3100FE"/>
                  <w:w w:val="97"/>
                </w:rPr>
                <w:t>Fifth Amended and Restated Bye-Laws.</w:t>
              </w:r>
            </w:hyperlink>
          </w:p>
        </w:tc>
        <w:tc>
          <w:tcPr>
            <w:tcW w:w="2240" w:type="dxa"/>
            <w:vAlign w:val="bottom"/>
            <w:gridSpan w:val="7"/>
          </w:tcPr>
          <w:p>
            <w:pPr>
              <w:spacing w:after="0"/>
              <w:rPr>
                <w:sz w:val="17"/>
                <w:szCs w:val="17"/>
                <w:color w:val="auto"/>
              </w:rPr>
            </w:pPr>
          </w:p>
        </w:tc>
        <w:tc>
          <w:tcPr>
            <w:tcW w:w="920" w:type="dxa"/>
            <w:vAlign w:val="bottom"/>
          </w:tcPr>
          <w:p>
            <w:pPr>
              <w:jc w:val="center"/>
              <w:ind w:right="39"/>
              <w:spacing w:after="0" w:line="205" w:lineRule="exact"/>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001-37929</w:t>
            </w:r>
          </w:p>
        </w:tc>
        <w:tc>
          <w:tcPr>
            <w:tcW w:w="11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3.3</w:t>
            </w:r>
          </w:p>
        </w:tc>
        <w:tc>
          <w:tcPr>
            <w:tcW w:w="1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02/10/2020</w:t>
            </w:r>
          </w:p>
        </w:tc>
        <w:tc>
          <w:tcPr>
            <w:tcW w:w="0" w:type="dxa"/>
            <w:vAlign w:val="bottom"/>
          </w:tcPr>
          <w:p>
            <w:pPr>
              <w:spacing w:after="0"/>
              <w:rPr>
                <w:sz w:val="1"/>
                <w:szCs w:val="1"/>
                <w:color w:val="auto"/>
              </w:rPr>
            </w:pPr>
          </w:p>
        </w:tc>
      </w:tr>
      <w:tr>
        <w:trPr>
          <w:trHeight w:val="205"/>
        </w:trPr>
        <w:tc>
          <w:tcPr>
            <w:tcW w:w="8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740" w:type="dxa"/>
            <w:vAlign w:val="bottom"/>
            <w:gridSpan w:val="2"/>
          </w:tcPr>
          <w:p>
            <w:pPr>
              <w:ind w:lef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508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0000FF"/>
              </w:rPr>
              <w:t>Letter of Understanding between Myovant Sciences, Inc. and</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Matthew Lang.</w:t>
            </w:r>
          </w:p>
        </w:tc>
        <w:tc>
          <w:tcPr>
            <w:tcW w:w="3240" w:type="dxa"/>
            <w:vAlign w:val="bottom"/>
            <w:tcBorders>
              <w:top w:val="single" w:sz="8" w:color="0000FF"/>
            </w:tcBorders>
            <w:gridSpan w:val="6"/>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3100FE"/>
                <w:w w:val="99"/>
              </w:rPr>
              <w:t>Certification of Principal Executive Officer pursuant to Section 302 of</w:t>
            </w: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3100FE"/>
              <w:bottom w:val="single" w:sz="8" w:color="3100FE"/>
            </w:tcBorders>
            <w:gridSpan w:val="5"/>
          </w:tcPr>
          <w:p>
            <w:pPr>
              <w:spacing w:after="0" w:line="152" w:lineRule="exact"/>
              <w:rPr>
                <w:sz w:val="20"/>
                <w:szCs w:val="20"/>
                <w:color w:val="auto"/>
              </w:rPr>
            </w:pPr>
            <w:r>
              <w:rPr>
                <w:rFonts w:ascii="Times New Roman" w:cs="Times New Roman" w:eastAsia="Times New Roman" w:hAnsi="Times New Roman"/>
                <w:sz w:val="17"/>
                <w:szCs w:val="17"/>
                <w:color w:val="3100FE"/>
              </w:rPr>
              <w:t>the Sarbanes-Oxley Act of 2002.</w:t>
            </w:r>
          </w:p>
        </w:tc>
        <w:tc>
          <w:tcPr>
            <w:tcW w:w="2640" w:type="dxa"/>
            <w:vAlign w:val="bottom"/>
            <w:tcBorders>
              <w:top w:val="single" w:sz="8" w:color="3100FE"/>
            </w:tcBorders>
            <w:gridSpan w:val="7"/>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3100FE"/>
              </w:rPr>
              <w:t>Certification of Principal Financial Officer pursuant to Section 302 of</w:t>
            </w: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3100FE"/>
              <w:bottom w:val="single" w:sz="8" w:color="3100FE"/>
            </w:tcBorders>
            <w:gridSpan w:val="5"/>
          </w:tcPr>
          <w:p>
            <w:pPr>
              <w:spacing w:after="0" w:line="152" w:lineRule="exact"/>
              <w:rPr>
                <w:sz w:val="20"/>
                <w:szCs w:val="20"/>
                <w:color w:val="auto"/>
              </w:rPr>
            </w:pPr>
            <w:r>
              <w:rPr>
                <w:rFonts w:ascii="Times New Roman" w:cs="Times New Roman" w:eastAsia="Times New Roman" w:hAnsi="Times New Roman"/>
                <w:sz w:val="17"/>
                <w:szCs w:val="17"/>
                <w:color w:val="3100FE"/>
              </w:rPr>
              <w:t>the Sarbanes-Oxley Act of 2002.</w:t>
            </w:r>
          </w:p>
        </w:tc>
        <w:tc>
          <w:tcPr>
            <w:tcW w:w="2600" w:type="dxa"/>
            <w:vAlign w:val="bottom"/>
            <w:tcBorders>
              <w:top w:val="single" w:sz="8" w:color="3100FE"/>
            </w:tcBorders>
            <w:gridSpan w:val="6"/>
          </w:tcPr>
          <w:p>
            <w:pPr>
              <w:spacing w:after="0"/>
              <w:rPr>
                <w:sz w:val="13"/>
                <w:szCs w:val="13"/>
                <w:color w:val="auto"/>
              </w:rPr>
            </w:pPr>
          </w:p>
        </w:tc>
        <w:tc>
          <w:tcPr>
            <w:tcW w:w="16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640" w:type="dxa"/>
            <w:vAlign w:val="bottom"/>
            <w:tcBorders>
              <w:bottom w:val="single" w:sz="8" w:color="3100FE"/>
            </w:tcBorders>
            <w:gridSpan w:val="9"/>
          </w:tcPr>
          <w:p>
            <w:pPr>
              <w:spacing w:after="0"/>
              <w:rPr>
                <w:sz w:val="20"/>
                <w:szCs w:val="20"/>
                <w:color w:val="auto"/>
              </w:rPr>
            </w:pPr>
            <w:r>
              <w:rPr>
                <w:rFonts w:ascii="Times New Roman" w:cs="Times New Roman" w:eastAsia="Times New Roman" w:hAnsi="Times New Roman"/>
                <w:sz w:val="18"/>
                <w:szCs w:val="18"/>
                <w:color w:val="3100FE"/>
                <w:w w:val="97"/>
              </w:rPr>
              <w:t>Certification of Principal Executive Officer pursuant to 18 U.S.C.</w:t>
            </w:r>
          </w:p>
        </w:tc>
        <w:tc>
          <w:tcPr>
            <w:tcW w:w="440" w:type="dxa"/>
            <w:vAlign w:val="bottom"/>
            <w:gridSpan w:val="4"/>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gridSpan w:val="13"/>
          </w:tcPr>
          <w:p>
            <w:pPr>
              <w:spacing w:after="0" w:line="152" w:lineRule="exact"/>
              <w:rPr>
                <w:sz w:val="20"/>
                <w:szCs w:val="20"/>
                <w:color w:val="auto"/>
              </w:rPr>
            </w:pPr>
            <w:r>
              <w:rPr>
                <w:rFonts w:ascii="Times New Roman" w:cs="Times New Roman" w:eastAsia="Times New Roman" w:hAnsi="Times New Roman"/>
                <w:sz w:val="17"/>
                <w:szCs w:val="17"/>
                <w:color w:val="3100FE"/>
              </w:rPr>
              <w:t>Section 1350, as adopted pursuant to Section 906 of the Sarbanes-</w:t>
            </w: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3100FE"/>
              <w:bottom w:val="single" w:sz="8" w:color="3100FE"/>
            </w:tcBorders>
            <w:gridSpan w:val="2"/>
          </w:tcPr>
          <w:p>
            <w:pPr>
              <w:spacing w:after="0" w:line="165" w:lineRule="exact"/>
              <w:rPr>
                <w:sz w:val="20"/>
                <w:szCs w:val="20"/>
                <w:color w:val="auto"/>
              </w:rPr>
            </w:pPr>
            <w:r>
              <w:rPr>
                <w:rFonts w:ascii="Times New Roman" w:cs="Times New Roman" w:eastAsia="Times New Roman" w:hAnsi="Times New Roman"/>
                <w:sz w:val="18"/>
                <w:szCs w:val="18"/>
                <w:color w:val="3100FE"/>
                <w:w w:val="96"/>
              </w:rPr>
              <w:t>Oxley Act of 2002.</w:t>
            </w:r>
          </w:p>
        </w:tc>
        <w:tc>
          <w:tcPr>
            <w:tcW w:w="3300" w:type="dxa"/>
            <w:vAlign w:val="bottom"/>
            <w:tcBorders>
              <w:top w:val="single" w:sz="8" w:color="3100FE"/>
            </w:tcBorders>
            <w:gridSpan w:val="8"/>
          </w:tcPr>
          <w:p>
            <w:pPr>
              <w:spacing w:after="0"/>
              <w:rPr>
                <w:sz w:val="14"/>
                <w:szCs w:val="14"/>
                <w:color w:val="auto"/>
              </w:rPr>
            </w:pPr>
          </w:p>
        </w:tc>
        <w:tc>
          <w:tcPr>
            <w:tcW w:w="42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32.2</w:t>
            </w:r>
          </w:p>
        </w:tc>
        <w:tc>
          <w:tcPr>
            <w:tcW w:w="740" w:type="dxa"/>
            <w:vAlign w:val="bottom"/>
            <w:gridSpan w:val="2"/>
          </w:tcPr>
          <w:p>
            <w:pPr>
              <w:ind w:lef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508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3100FE"/>
              </w:rPr>
              <w:t>Certification of Principal Financial Officer pursuant to 18 U.S.C.</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top w:val="single" w:sz="8" w:color="3100FE"/>
            </w:tcBorders>
            <w:gridSpan w:val="8"/>
          </w:tcPr>
          <w:p>
            <w:pPr>
              <w:spacing w:after="0" w:line="152" w:lineRule="exact"/>
              <w:rPr>
                <w:sz w:val="20"/>
                <w:szCs w:val="20"/>
                <w:color w:val="auto"/>
              </w:rPr>
            </w:pPr>
            <w:r>
              <w:rPr>
                <w:rFonts w:ascii="Times New Roman" w:cs="Times New Roman" w:eastAsia="Times New Roman" w:hAnsi="Times New Roman"/>
                <w:sz w:val="17"/>
                <w:szCs w:val="17"/>
                <w:color w:val="3100FE"/>
              </w:rPr>
              <w:t>Section 1350, as adopted pursuant to Section 906 of the Sarbanes</w:t>
            </w:r>
          </w:p>
        </w:tc>
        <w:tc>
          <w:tcPr>
            <w:tcW w:w="500" w:type="dxa"/>
            <w:vAlign w:val="bottom"/>
            <w:gridSpan w:val="5"/>
          </w:tcPr>
          <w:p>
            <w:pPr>
              <w:jc w:val="right"/>
              <w:ind w:right="420"/>
              <w:spacing w:after="0" w:line="152" w:lineRule="exact"/>
              <w:rPr>
                <w:sz w:val="20"/>
                <w:szCs w:val="20"/>
                <w:color w:val="auto"/>
              </w:rPr>
            </w:pPr>
            <w:r>
              <w:rPr>
                <w:rFonts w:ascii="Times New Roman" w:cs="Times New Roman" w:eastAsia="Times New Roman" w:hAnsi="Times New Roman"/>
                <w:sz w:val="17"/>
                <w:szCs w:val="17"/>
                <w:color w:val="3100FE"/>
              </w:rPr>
              <w:t>-</w:t>
            </w: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3100FE"/>
              <w:bottom w:val="single" w:sz="8" w:color="3100FE"/>
            </w:tcBorders>
            <w:gridSpan w:val="2"/>
          </w:tcPr>
          <w:p>
            <w:pPr>
              <w:spacing w:after="0" w:line="165" w:lineRule="exact"/>
              <w:rPr>
                <w:sz w:val="20"/>
                <w:szCs w:val="20"/>
                <w:color w:val="auto"/>
              </w:rPr>
            </w:pPr>
            <w:r>
              <w:rPr>
                <w:rFonts w:ascii="Times New Roman" w:cs="Times New Roman" w:eastAsia="Times New Roman" w:hAnsi="Times New Roman"/>
                <w:sz w:val="18"/>
                <w:szCs w:val="18"/>
                <w:color w:val="3100FE"/>
                <w:w w:val="96"/>
              </w:rPr>
              <w:t>Oxley Act of 2002.</w:t>
            </w:r>
          </w:p>
        </w:tc>
        <w:tc>
          <w:tcPr>
            <w:tcW w:w="3300" w:type="dxa"/>
            <w:vAlign w:val="bottom"/>
            <w:tcBorders>
              <w:top w:val="single" w:sz="8" w:color="3100FE"/>
            </w:tcBorders>
            <w:gridSpan w:val="8"/>
          </w:tcPr>
          <w:p>
            <w:pPr>
              <w:spacing w:after="0"/>
              <w:rPr>
                <w:sz w:val="14"/>
                <w:szCs w:val="14"/>
                <w:color w:val="auto"/>
              </w:rPr>
            </w:pPr>
          </w:p>
        </w:tc>
        <w:tc>
          <w:tcPr>
            <w:tcW w:w="42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101.INS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80" w:type="dxa"/>
            <w:vAlign w:val="bottom"/>
            <w:gridSpan w:val="13"/>
          </w:tcPr>
          <w:p>
            <w:pPr>
              <w:spacing w:after="0" w:line="192" w:lineRule="exact"/>
              <w:rPr>
                <w:sz w:val="20"/>
                <w:szCs w:val="20"/>
                <w:color w:val="auto"/>
              </w:rPr>
            </w:pPr>
            <w:r>
              <w:rPr>
                <w:rFonts w:ascii="Times New Roman" w:cs="Times New Roman" w:eastAsia="Times New Roman" w:hAnsi="Times New Roman"/>
                <w:sz w:val="18"/>
                <w:szCs w:val="18"/>
                <w:color w:val="242424"/>
              </w:rPr>
              <w:t>Inline XBRL Instance Document- the instance document does not</w:t>
            </w: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80" w:type="dxa"/>
            <w:vAlign w:val="bottom"/>
            <w:gridSpan w:val="13"/>
          </w:tcPr>
          <w:p>
            <w:pPr>
              <w:spacing w:after="0" w:line="181" w:lineRule="exact"/>
              <w:rPr>
                <w:sz w:val="20"/>
                <w:szCs w:val="20"/>
                <w:color w:val="auto"/>
              </w:rPr>
            </w:pPr>
            <w:r>
              <w:rPr>
                <w:rFonts w:ascii="Times New Roman" w:cs="Times New Roman" w:eastAsia="Times New Roman" w:hAnsi="Times New Roman"/>
                <w:sz w:val="18"/>
                <w:szCs w:val="18"/>
                <w:color w:val="242424"/>
              </w:rPr>
              <w:t>appear in the Interactive Data File because its XBRL tags are</w:t>
            </w:r>
          </w:p>
        </w:tc>
        <w:tc>
          <w:tcPr>
            <w:tcW w:w="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242424"/>
              </w:rPr>
              <w:t>embedded within the Inline XBRL document.</w:t>
            </w: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101.SCH</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242424"/>
              </w:rPr>
              <w:t>Inline XBRL Taxonomy Extension Schema</w:t>
            </w: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242424"/>
              </w:rPr>
              <w:t>Inline XBRL Taxonomy Extension Calculation Linkbase</w:t>
            </w: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242424"/>
              </w:rPr>
              <w:t>Inline XBRL Taxonomy Extension Definition Linkbase</w:t>
            </w: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80" w:type="dxa"/>
            <w:vAlign w:val="bottom"/>
            <w:gridSpan w:val="13"/>
          </w:tcPr>
          <w:p>
            <w:pPr>
              <w:spacing w:after="0"/>
              <w:rPr>
                <w:sz w:val="20"/>
                <w:szCs w:val="20"/>
                <w:color w:val="auto"/>
              </w:rPr>
            </w:pPr>
            <w:r>
              <w:rPr>
                <w:rFonts w:ascii="Times New Roman" w:cs="Times New Roman" w:eastAsia="Times New Roman" w:hAnsi="Times New Roman"/>
                <w:sz w:val="18"/>
                <w:szCs w:val="18"/>
                <w:color w:val="242424"/>
              </w:rPr>
              <w:t>Inline XBRL Taxonomy Extension Label Linkbase</w:t>
            </w: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8"/>
        </w:trPr>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8"/>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160"/>
        <w:spacing w:after="0"/>
        <w:tabs>
          <w:tab w:leader="none" w:pos="160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242424"/>
        </w:rPr>
        <w:t>Inline XBRL Taxonomy Extension Presentation Linkbase</w:t>
      </w:r>
    </w:p>
    <w:p>
      <w:pPr>
        <w:spacing w:after="0" w:line="24" w:lineRule="exact"/>
        <w:rPr>
          <w:sz w:val="20"/>
          <w:szCs w:val="20"/>
          <w:color w:val="auto"/>
        </w:rPr>
      </w:pPr>
    </w:p>
    <w:p>
      <w:pPr>
        <w:ind w:left="1620" w:right="4660" w:hanging="1283"/>
        <w:spacing w:after="0" w:line="225" w:lineRule="auto"/>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42424"/>
        </w:rPr>
        <w:t>Cover Page Interactive Data File - the cover page interactive data file does not appear in the Interactive Data File because its XBRL tags are embedded within the Inline XBRL document.</w:t>
      </w:r>
    </w:p>
    <w:p>
      <w:pPr>
        <w:spacing w:after="0" w:line="59" w:lineRule="exact"/>
        <w:rPr>
          <w:rFonts w:ascii="Times New Roman" w:cs="Times New Roman" w:eastAsia="Times New Roman" w:hAnsi="Times New Roman"/>
          <w:sz w:val="18"/>
          <w:szCs w:val="18"/>
          <w:color w:val="auto"/>
        </w:rPr>
      </w:pPr>
    </w:p>
    <w:p>
      <w:pPr>
        <w:ind w:left="140" w:hanging="134"/>
        <w:spacing w:after="0"/>
        <w:tabs>
          <w:tab w:leader="none" w:pos="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5" w:lineRule="auto"/>
        <w:rPr>
          <w:sz w:val="20"/>
          <w:szCs w:val="20"/>
          <w:color w:val="auto"/>
        </w:rPr>
      </w:pPr>
      <w:r>
        <w:rPr>
          <w:rFonts w:ascii="Times New Roman" w:cs="Times New Roman" w:eastAsia="Times New Roman" w:hAnsi="Times New Roman"/>
          <w:sz w:val="18"/>
          <w:szCs w:val="18"/>
          <w:color w:val="auto"/>
        </w:rPr>
        <w:t>†† Furnished herewith.</w:t>
      </w:r>
    </w:p>
    <w:p>
      <w:pPr>
        <w:spacing w:after="0" w:line="215" w:lineRule="auto"/>
        <w:rPr>
          <w:sz w:val="20"/>
          <w:szCs w:val="20"/>
          <w:color w:val="auto"/>
        </w:rPr>
      </w:pPr>
      <w:r>
        <w:rPr>
          <w:rFonts w:ascii="Times New Roman" w:cs="Times New Roman" w:eastAsia="Times New Roman" w:hAnsi="Times New Roman"/>
          <w:sz w:val="18"/>
          <w:szCs w:val="18"/>
          <w:color w:val="auto"/>
        </w:rPr>
        <w:t>+ Indicates management contract or compensatory plan.</w:t>
      </w:r>
    </w:p>
    <w:p>
      <w:pPr>
        <w:jc w:val="both"/>
        <w:ind w:firstLine="6"/>
        <w:spacing w:after="0" w:line="230" w:lineRule="auto"/>
        <w:tabs>
          <w:tab w:leader="none" w:pos="23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on Form 10-Q pursuant to 18 U.S.C. Section 1350, and are not being filed for purposes of Section 18 of the Exchange Act,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00" w:lineRule="exact"/>
        <w:rPr>
          <w:sz w:val="20"/>
          <w:szCs w:val="20"/>
          <w:color w:val="auto"/>
        </w:rPr>
      </w:pPr>
    </w:p>
    <w:p>
      <w:pPr>
        <w:spacing w:after="0" w:line="271" w:lineRule="exact"/>
        <w:rPr>
          <w:sz w:val="20"/>
          <w:szCs w:val="20"/>
          <w:color w:val="auto"/>
        </w:rPr>
      </w:pPr>
    </w:p>
    <w:p>
      <w:pPr>
        <w:ind w:left="4560"/>
        <w:spacing w:after="0"/>
        <w:tabs>
          <w:tab w:leader="none" w:pos="5060" w:val="left"/>
        </w:tabs>
        <w:rPr>
          <w:sz w:val="20"/>
          <w:szCs w:val="20"/>
          <w:color w:val="auto"/>
        </w:rPr>
      </w:pPr>
      <w:r>
        <w:rPr>
          <w:rFonts w:ascii="Times New Roman" w:cs="Times New Roman" w:eastAsia="Times New Roman" w:hAnsi="Times New Roman"/>
          <w:sz w:val="18"/>
          <w:szCs w:val="18"/>
          <w:color w:val="auto"/>
        </w:rPr>
        <w:t>By:</w:t>
        <w:tab/>
        <w:t>/s/ Uneek Mehra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31750</wp:posOffset>
            </wp:positionV>
            <wp:extent cx="39204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920490" cy="8255"/>
                    </a:xfrm>
                    <a:prstGeom prst="rect">
                      <a:avLst/>
                    </a:prstGeom>
                    <a:noFill/>
                  </pic:spPr>
                </pic:pic>
              </a:graphicData>
            </a:graphic>
          </wp:anchor>
        </w:drawing>
      </w:r>
    </w:p>
    <w:p>
      <w:pPr>
        <w:spacing w:after="0" w:line="3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Uneek Mehra</w:t>
      </w:r>
    </w:p>
    <w:p>
      <w:pPr>
        <w:spacing w:after="0" w:line="1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320" w:top="121" w:right="57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7"/>
          <w:szCs w:val="17"/>
          <w:color w:val="auto"/>
        </w:rPr>
        <w:t>Matt Lang</w:t>
      </w:r>
    </w:p>
    <w:p>
      <w:pPr>
        <w:spacing w:after="0" w:line="4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color w:val="auto"/>
        </w:rPr>
        <w:t>Dave Marek, Chief Executive Officer (CEO)</w:t>
      </w:r>
    </w:p>
    <w:p>
      <w:pPr>
        <w:spacing w:after="0" w:line="9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15, 2021</w:t>
      </w:r>
    </w:p>
    <w:p>
      <w:pPr>
        <w:spacing w:after="0" w:line="200" w:lineRule="exact"/>
        <w:rPr>
          <w:sz w:val="20"/>
          <w:szCs w:val="20"/>
          <w:color w:val="auto"/>
        </w:rPr>
      </w:pPr>
    </w:p>
    <w:p>
      <w:pPr>
        <w:spacing w:after="0" w:line="29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SUBJECT:</w:t>
      </w:r>
      <w:r>
        <w:rPr>
          <w:sz w:val="20"/>
          <w:szCs w:val="20"/>
          <w:color w:val="auto"/>
        </w:rPr>
        <w:tab/>
      </w:r>
      <w:r>
        <w:rPr>
          <w:rFonts w:ascii="Times New Roman" w:cs="Times New Roman" w:eastAsia="Times New Roman" w:hAnsi="Times New Roman"/>
          <w:sz w:val="17"/>
          <w:szCs w:val="17"/>
          <w:b w:val="1"/>
          <w:bCs w:val="1"/>
          <w:u w:val="single" w:color="auto"/>
          <w:color w:val="auto"/>
        </w:rPr>
        <w:t>LETTER OF UNDERSTANDING - EXPATRIATE ASSIGNMENT</w:t>
      </w:r>
    </w:p>
    <w:p>
      <w:pPr>
        <w:spacing w:after="0" w:line="299"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7"/>
          <w:szCs w:val="17"/>
          <w:color w:val="auto"/>
        </w:rPr>
        <w:t>This letter (the “Offer Letter”) confirms our mutual understanding of the terms and conditions applicable to your assignment (the “Assignment”) effective June 1, 2021. This letter shall be read in conjunction with your Amended and Restated Employment agreement dated November 17, 2018 (the “Employment Agreement”) between you and Myovant Sciences, Inc. (the “Home Company”). To the extent any term herein conflicts with a term in the Employment</w:t>
      </w:r>
    </w:p>
    <w:p>
      <w:pPr>
        <w:spacing w:after="0"/>
        <w:rPr>
          <w:sz w:val="20"/>
          <w:szCs w:val="20"/>
          <w:color w:val="auto"/>
        </w:rPr>
      </w:pPr>
      <w:r>
        <w:rPr>
          <w:rFonts w:ascii="Times New Roman" w:cs="Times New Roman" w:eastAsia="Times New Roman" w:hAnsi="Times New Roman"/>
          <w:sz w:val="18"/>
          <w:szCs w:val="18"/>
          <w:color w:val="auto"/>
        </w:rPr>
        <w:t>Agreement, the Employment Agreement shall govern.</w:t>
      </w:r>
    </w:p>
    <w:p>
      <w:pPr>
        <w:spacing w:after="0" w:line="184"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7"/>
          <w:szCs w:val="17"/>
          <w:color w:val="auto"/>
        </w:rPr>
        <w:t>As General Manager for Myovant GmbH (“the Company”) you will report to Dave Marek, Principal Executive Officer of Myovant Sciences Ltd. and will be located in the Company’s headquarters in Basel Switzerland (“Host Country”). The Assignment is for a period of thirty months, but may be shortened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extended upon mutual agreement, and may be terminated at management’s sole discretion.</w:t>
      </w:r>
    </w:p>
    <w:p>
      <w:pPr>
        <w:spacing w:after="0" w:line="184" w:lineRule="exact"/>
        <w:rPr>
          <w:sz w:val="20"/>
          <w:szCs w:val="20"/>
          <w:color w:val="auto"/>
        </w:rPr>
      </w:pPr>
    </w:p>
    <w:p>
      <w:pPr>
        <w:ind w:right="380"/>
        <w:spacing w:after="0" w:line="234" w:lineRule="auto"/>
        <w:rPr>
          <w:sz w:val="20"/>
          <w:szCs w:val="20"/>
          <w:color w:val="auto"/>
        </w:rPr>
      </w:pPr>
      <w:r>
        <w:rPr>
          <w:rFonts w:ascii="Times New Roman" w:cs="Times New Roman" w:eastAsia="Times New Roman" w:hAnsi="Times New Roman"/>
          <w:sz w:val="18"/>
          <w:szCs w:val="18"/>
          <w:color w:val="auto"/>
        </w:rPr>
        <w:t>This Assignment is subject to obtaining any appropriate permits for employment and residence in Host Country, as well as your acceptance of the terms and conditions outlined in this Offer Letter.</w:t>
      </w:r>
    </w:p>
    <w:p>
      <w:pPr>
        <w:spacing w:after="0" w:line="19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following sets forth the compensation and benefits provisions of your Assignment. Please understand that these terms and conditions will be in effect for the period of this Assignment and will not necessarily apply to future transfers or assignments.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Immigration Approval</w:t>
      </w:r>
    </w:p>
    <w:p>
      <w:pPr>
        <w:spacing w:after="0" w:line="47"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18"/>
          <w:szCs w:val="18"/>
          <w:color w:val="auto"/>
        </w:rPr>
        <w:t>This Assignment is made subject to all the necessary permits/visas required for living and working in the Host Country being granted and the Assignment cannot commence before this authority is given. The fees associated with obtaining the necessary permits/visas will be paid for initially by the Home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Pre-Assignment Visit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make a 5-day visit to the Host Country to become familiar with the role and location.</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Examinations and Vaccinations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 to your Assignment you and your Accompanying Family are required to obtain medical certification confirming fitness to travel to reside and work in</w:t>
      </w:r>
    </w:p>
    <w:p>
      <w:pPr>
        <w:spacing w:after="0" w:line="10" w:lineRule="exact"/>
        <w:rPr>
          <w:sz w:val="20"/>
          <w:szCs w:val="20"/>
          <w:color w:val="auto"/>
        </w:rPr>
      </w:pPr>
    </w:p>
    <w:p>
      <w:pPr>
        <w:ind w:right="340"/>
        <w:spacing w:after="0" w:line="235" w:lineRule="auto"/>
        <w:rPr>
          <w:sz w:val="20"/>
          <w:szCs w:val="20"/>
          <w:color w:val="auto"/>
        </w:rPr>
      </w:pPr>
      <w:r>
        <w:rPr>
          <w:rFonts w:ascii="Times New Roman" w:cs="Times New Roman" w:eastAsia="Times New Roman" w:hAnsi="Times New Roman"/>
          <w:sz w:val="17"/>
          <w:szCs w:val="17"/>
          <w:color w:val="auto"/>
        </w:rPr>
        <w:t>the Host Country. Your Assignment is conditional upon you obtaining such medical certification. You must also ensure that all the recommended vaccinations have taken place before travelling. The fees for the medical consultations and vaccinations will be paid for initially by the Home Company.</w:t>
      </w:r>
    </w:p>
    <w:p>
      <w:pPr>
        <w:sectPr>
          <w:pgSz w:w="11900" w:h="16838" w:orient="portrait"/>
          <w:cols w:equalWidth="0" w:num="1">
            <w:col w:w="11120"/>
          </w:cols>
          <w:pgMar w:left="440" w:top="1365" w:right="339" w:bottom="1440" w:gutter="0" w:footer="0" w:header="0"/>
        </w:sectPr>
      </w:pPr>
    </w:p>
    <w:bookmarkStart w:id="83" w:name="page84"/>
    <w:bookmarkEnd w:id="83"/>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Travel to Host Country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Host Company will fund air travel for you and your family in accordance with your Home Company travel policy at the start of your Assignment.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Country Base and Benefits Base Salary</w:t>
      </w:r>
    </w:p>
    <w:p>
      <w:pPr>
        <w:spacing w:after="0" w:line="166"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auto"/>
        </w:rPr>
        <w:t>Your annual base salary will be USD $530,000 and will be used for purposes of determining differentials and bonuses as described in this letter. Differentials will be adjusted to reflect the impact of any salary changes that occur during your international assignment. Future normal merit increases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 based on the Home Company’s compensation policies in effect at that time and in management’s sole discretion.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Bonus Plan</w:t>
      </w:r>
    </w:p>
    <w:p>
      <w:pPr>
        <w:spacing w:after="0" w:line="219"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8"/>
          <w:szCs w:val="18"/>
          <w:color w:val="auto"/>
        </w:rPr>
        <w:t>You are eligible to participate in the executive bonus plan for the Home Company with a target equal to 45% of your annual salary. All rules for eligibility and pay out of bonuses will be in accordance with the terms of the plan in effect at that time.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219"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18"/>
          <w:szCs w:val="18"/>
          <w:color w:val="auto"/>
        </w:rPr>
        <w:t>You may participate in benefit programs as applicable to comparable employees in the United States. Benefits determined by base salary will be calculated exclusive of any allowance, differential, bonuses or similar additional payments. Payroll deductions will be applied for hypothetical taxes, applicable US social programs, Company benefit programs, and the like.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time off and holidays will be scheduled based on practices in effect in the Basel Switzerland location.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401(k) Retirement Plan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enrollment of your Home Company 401(k) benefit plan will continue with contributions calculated using your Home Base Salary.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Health Insurance</w:t>
      </w:r>
    </w:p>
    <w:p>
      <w:pPr>
        <w:spacing w:after="0" w:line="58"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Your membership of your Home Company life/ill health/disability insurance plans will continue with contributions/benefits calculated using your Home Base Salary.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Social Security</w:t>
      </w:r>
    </w:p>
    <w:p>
      <w:pPr>
        <w:spacing w:after="0" w:line="5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Wherever possible you will remain within your Home Country social security system and an application will be made to continue these deductions during the Assignment.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Share/Stock Plans</w:t>
      </w:r>
    </w:p>
    <w:p>
      <w:pPr>
        <w:spacing w:after="0" w:line="45"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Your participation in your current Home Company equity plans will continue except where plan rules or the applicable legislation prevents this. The level of your participation will be determined in accordance with Home Company practice.</w:t>
      </w:r>
    </w:p>
    <w:p>
      <w:pPr>
        <w:sectPr>
          <w:pgSz w:w="11900" w:h="16838" w:orient="portrait"/>
          <w:cols w:equalWidth="0" w:num="1">
            <w:col w:w="11040"/>
          </w:cols>
          <w:pgMar w:left="440" w:top="1440" w:right="419" w:bottom="1440" w:gutter="0" w:footer="0" w:header="0"/>
        </w:sectPr>
      </w:pPr>
    </w:p>
    <w:bookmarkStart w:id="84" w:name="page85"/>
    <w:bookmarkEnd w:id="84"/>
    <w:p>
      <w:pPr>
        <w:spacing w:after="0" w:line="16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Over the period of the Assignment, your collective tax and social security liabilities in relation to income arising from these schemes will be no greater than had you remained in your Home Country and these liabilities will arise no earlier than they would have done in your Home Country. All calculations will be provided by KPMG, the Group’s advisors on overseas personal tax matters.</w:t>
      </w:r>
    </w:p>
    <w:p>
      <w:pPr>
        <w:spacing w:after="0" w:line="115" w:lineRule="exact"/>
        <w:rPr>
          <w:sz w:val="20"/>
          <w:szCs w:val="20"/>
          <w:color w:val="auto"/>
        </w:rPr>
      </w:pPr>
    </w:p>
    <w:p>
      <w:pPr>
        <w:ind w:right="520"/>
        <w:spacing w:after="0" w:line="234" w:lineRule="auto"/>
        <w:rPr>
          <w:sz w:val="20"/>
          <w:szCs w:val="20"/>
          <w:color w:val="auto"/>
        </w:rPr>
      </w:pPr>
      <w:r>
        <w:rPr>
          <w:rFonts w:ascii="Times New Roman" w:cs="Times New Roman" w:eastAsia="Times New Roman" w:hAnsi="Times New Roman"/>
          <w:sz w:val="18"/>
          <w:szCs w:val="18"/>
          <w:color w:val="auto"/>
        </w:rPr>
        <w:t>It is your responsibility to notify KPMG at least 5 working days in advance of any potential events relating to these share plans over which you have discretion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exercise of a share option). This should allow sufficient time for any potential complications to be considered.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Goods and Services Allowance</w:t>
      </w:r>
    </w:p>
    <w:p>
      <w:pPr>
        <w:spacing w:after="0" w:line="26" w:lineRule="exact"/>
        <w:rPr>
          <w:sz w:val="20"/>
          <w:szCs w:val="20"/>
          <w:color w:val="auto"/>
        </w:rPr>
      </w:pPr>
    </w:p>
    <w:p>
      <w:pPr>
        <w:ind w:right="480"/>
        <w:spacing w:after="0" w:line="222" w:lineRule="auto"/>
        <w:rPr>
          <w:sz w:val="20"/>
          <w:szCs w:val="20"/>
          <w:color w:val="auto"/>
        </w:rPr>
      </w:pPr>
      <w:r>
        <w:rPr>
          <w:rFonts w:ascii="Times New Roman" w:cs="Times New Roman" w:eastAsia="Times New Roman" w:hAnsi="Times New Roman"/>
          <w:sz w:val="18"/>
          <w:szCs w:val="18"/>
          <w:color w:val="auto"/>
        </w:rPr>
        <w:t>The Goods and Services Allowance is intended to reimburse you for certain increased living costs (excluding housing and utilities), which may result when living costs in Host Country exceed those in the United States.</w:t>
      </w:r>
    </w:p>
    <w:p>
      <w:pPr>
        <w:spacing w:after="0" w:line="194"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17"/>
          <w:szCs w:val="17"/>
          <w:color w:val="auto"/>
        </w:rPr>
        <w:t>The Goods and Services Allowance is determined using your base salary and may be adjusted up or down due to fluctuation in costs in the home and host countries and in the exchange rate. This allowance begins when you move into housing in Host Country and ends upon vacating said housing. The current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Goods and Services allowance available to you is USD $97,567.58 net amount per year and will be paid monthly.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Housing and Utilities Differential</w:t>
      </w:r>
    </w:p>
    <w:p>
      <w:pPr>
        <w:spacing w:after="0" w:line="26" w:lineRule="exact"/>
        <w:rPr>
          <w:sz w:val="20"/>
          <w:szCs w:val="20"/>
          <w:color w:val="auto"/>
        </w:rPr>
      </w:pPr>
    </w:p>
    <w:p>
      <w:pPr>
        <w:ind w:right="340"/>
        <w:spacing w:after="0" w:line="230" w:lineRule="auto"/>
        <w:rPr>
          <w:sz w:val="20"/>
          <w:szCs w:val="20"/>
          <w:color w:val="auto"/>
        </w:rPr>
      </w:pPr>
      <w:r>
        <w:rPr>
          <w:rFonts w:ascii="Times New Roman" w:cs="Times New Roman" w:eastAsia="Times New Roman" w:hAnsi="Times New Roman"/>
          <w:sz w:val="18"/>
          <w:szCs w:val="18"/>
          <w:color w:val="auto"/>
        </w:rPr>
        <w:t>The Company will pay your actual monthly housing fee and utilities up to USD $8,800 dollars per month, plus any security deposit, excluding personal telephone expenses. The Company must approve housing and rental terms in advance.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deduction and payment of housing will begin when you move into the Host Country residence.</w:t>
      </w:r>
    </w:p>
    <w:p>
      <w:pPr>
        <w:spacing w:after="0" w:line="204" w:lineRule="exact"/>
        <w:rPr>
          <w:sz w:val="20"/>
          <w:szCs w:val="20"/>
          <w:color w:val="auto"/>
        </w:rPr>
      </w:pPr>
    </w:p>
    <w:p>
      <w:pPr>
        <w:ind w:right="4200"/>
        <w:spacing w:after="0" w:line="243" w:lineRule="auto"/>
        <w:rPr>
          <w:sz w:val="20"/>
          <w:szCs w:val="20"/>
          <w:color w:val="auto"/>
        </w:rPr>
      </w:pPr>
      <w:r>
        <w:rPr>
          <w:rFonts w:ascii="Times New Roman" w:cs="Times New Roman" w:eastAsia="Times New Roman" w:hAnsi="Times New Roman"/>
          <w:sz w:val="18"/>
          <w:szCs w:val="18"/>
          <w:color w:val="auto"/>
        </w:rPr>
        <w:t>You will not be entitled to a cash reimbursement should the actual costs incurred fall below USD $8,800 dollars per month.</w:t>
      </w:r>
    </w:p>
    <w:p>
      <w:pPr>
        <w:spacing w:after="0" w:line="177" w:lineRule="exact"/>
        <w:rPr>
          <w:sz w:val="20"/>
          <w:szCs w:val="20"/>
          <w:color w:val="auto"/>
        </w:rPr>
      </w:pPr>
    </w:p>
    <w:p>
      <w:pPr>
        <w:ind w:right="560"/>
        <w:spacing w:after="0" w:line="234" w:lineRule="auto"/>
        <w:rPr>
          <w:sz w:val="20"/>
          <w:szCs w:val="20"/>
          <w:color w:val="auto"/>
        </w:rPr>
      </w:pPr>
      <w:r>
        <w:rPr>
          <w:rFonts w:ascii="Times New Roman" w:cs="Times New Roman" w:eastAsia="Times New Roman" w:hAnsi="Times New Roman"/>
          <w:sz w:val="18"/>
          <w:szCs w:val="18"/>
          <w:color w:val="auto"/>
        </w:rPr>
        <w:t>Additionally, should you determine to sell your existing home in the US, the Company will reimburse you for reasonable closing and brokerage costs associated with such sale.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Education Support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Cross Cultural Training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Cross-cultural training will be provided to assist you and your Accompanying Family to settle quickly into the Host Country business and lifestyle.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Schooling</w:t>
      </w:r>
    </w:p>
    <w:p>
      <w:pPr>
        <w:spacing w:after="0" w:line="217" w:lineRule="exact"/>
        <w:rPr>
          <w:sz w:val="20"/>
          <w:szCs w:val="20"/>
          <w:color w:val="auto"/>
        </w:rPr>
      </w:pPr>
    </w:p>
    <w:p>
      <w:pPr>
        <w:ind w:right="360"/>
        <w:spacing w:after="0" w:line="234" w:lineRule="auto"/>
        <w:rPr>
          <w:sz w:val="20"/>
          <w:szCs w:val="20"/>
          <w:color w:val="auto"/>
        </w:rPr>
      </w:pPr>
      <w:r>
        <w:rPr>
          <w:rFonts w:ascii="Times New Roman" w:cs="Times New Roman" w:eastAsia="Times New Roman" w:hAnsi="Times New Roman"/>
          <w:sz w:val="18"/>
          <w:szCs w:val="18"/>
          <w:color w:val="auto"/>
        </w:rPr>
        <w:t>The Company will reimburse you for tuition, registration and other required fees for your two children at an international school of your choice in Host Country.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 Assistance</w:t>
      </w:r>
    </w:p>
    <w:p>
      <w:pPr>
        <w:sectPr>
          <w:pgSz w:w="11900" w:h="16838" w:orient="portrait"/>
          <w:cols w:equalWidth="0" w:num="1">
            <w:col w:w="11060"/>
          </w:cols>
          <w:pgMar w:left="440" w:top="1440" w:right="399" w:bottom="1440" w:gutter="0" w:footer="0" w:header="0"/>
        </w:sectPr>
      </w:pPr>
    </w:p>
    <w:bookmarkStart w:id="85" w:name="page86"/>
    <w:bookmarkEnd w:id="85"/>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assistance of up to 5% of the annual Home Base Salary will be provided for educational courses/job search subject to advance approval.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Accommodation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Accommodation on Arrival in Host Country</w:t>
      </w:r>
    </w:p>
    <w:p>
      <w:pPr>
        <w:spacing w:after="0" w:line="217" w:lineRule="exact"/>
        <w:rPr>
          <w:sz w:val="20"/>
          <w:szCs w:val="20"/>
          <w:color w:val="auto"/>
        </w:rPr>
      </w:pPr>
    </w:p>
    <w:p>
      <w:pPr>
        <w:ind w:right="500"/>
        <w:spacing w:after="0" w:line="234" w:lineRule="auto"/>
        <w:rPr>
          <w:sz w:val="20"/>
          <w:szCs w:val="20"/>
          <w:color w:val="auto"/>
        </w:rPr>
      </w:pPr>
      <w:r>
        <w:rPr>
          <w:rFonts w:ascii="Times New Roman" w:cs="Times New Roman" w:eastAsia="Times New Roman" w:hAnsi="Times New Roman"/>
          <w:sz w:val="18"/>
          <w:szCs w:val="18"/>
          <w:color w:val="auto"/>
        </w:rPr>
        <w:t>If leased accommodation is not yet available, you will be provided with up to 4 weeks hotel or serviced apartment accommodation. During this time reasonable out of pocket expenses will be reimbursed against receipts.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Furnishings/Furniture Allowance</w:t>
      </w:r>
    </w:p>
    <w:p>
      <w:pPr>
        <w:spacing w:after="0" w:line="58" w:lineRule="exact"/>
        <w:rPr>
          <w:sz w:val="20"/>
          <w:szCs w:val="20"/>
          <w:color w:val="auto"/>
        </w:rPr>
      </w:pPr>
    </w:p>
    <w:p>
      <w:pPr>
        <w:ind w:right="340"/>
        <w:spacing w:after="0" w:line="234" w:lineRule="auto"/>
        <w:rPr>
          <w:sz w:val="20"/>
          <w:szCs w:val="20"/>
          <w:color w:val="auto"/>
        </w:rPr>
      </w:pPr>
      <w:r>
        <w:rPr>
          <w:rFonts w:ascii="Times New Roman" w:cs="Times New Roman" w:eastAsia="Times New Roman" w:hAnsi="Times New Roman"/>
          <w:sz w:val="18"/>
          <w:szCs w:val="18"/>
          <w:color w:val="auto"/>
        </w:rPr>
        <w:t>Accommodation should normally be fully furnished but where this is not possible furniture may be leased within an agreed budget and will remain the property of the Host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Transportation Allowance</w:t>
      </w:r>
    </w:p>
    <w:p>
      <w:pPr>
        <w:spacing w:after="0" w:line="26"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17"/>
          <w:szCs w:val="17"/>
          <w:color w:val="auto"/>
        </w:rPr>
        <w:t>The Company will provide an automobile for business use per existing norms and standards in Basel Switzerland. In addition, the Company will provide you a USD $1,250 per month transportation allowance and if leased transportation is not yet available, you will be provided with up to 4 weeks of a rental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Leave</w:t>
      </w:r>
    </w:p>
    <w:p>
      <w:pPr>
        <w:spacing w:after="0" w:line="26" w:lineRule="exact"/>
        <w:rPr>
          <w:sz w:val="20"/>
          <w:szCs w:val="20"/>
          <w:color w:val="auto"/>
        </w:rPr>
      </w:pPr>
    </w:p>
    <w:p>
      <w:pPr>
        <w:jc w:val="both"/>
        <w:ind w:right="180"/>
        <w:spacing w:after="0" w:line="220" w:lineRule="auto"/>
        <w:rPr>
          <w:sz w:val="20"/>
          <w:szCs w:val="20"/>
          <w:color w:val="auto"/>
        </w:rPr>
      </w:pPr>
      <w:r>
        <w:rPr>
          <w:rFonts w:ascii="Times New Roman" w:cs="Times New Roman" w:eastAsia="Times New Roman" w:hAnsi="Times New Roman"/>
          <w:sz w:val="18"/>
          <w:szCs w:val="18"/>
          <w:color w:val="auto"/>
        </w:rPr>
        <w:t>You and your family will be entitled to one round trip return to the US per year via business class air travel. If you choose to travel to another country in lieu of a return to the US, the Company will reimburse you for the trip at business rates provided that the cost is lower than a flight to the US. Should the need arise to return to the US for an emergency situation, the Company will reimburse you and your family for round trip coach airfare.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Relocation Allowance</w:t>
      </w:r>
    </w:p>
    <w:p>
      <w:pPr>
        <w:spacing w:after="0" w:line="26"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17"/>
          <w:szCs w:val="17"/>
          <w:color w:val="auto"/>
        </w:rPr>
        <w:t>The company will reimburse you for all reasonable and customary expenses associated with your family’s move from the US to Basel Switzerland, business class airfare included. Upon completion of this assignment, and/or provided that you physically remain in the host country for a minimum of one</w:t>
      </w:r>
    </w:p>
    <w:p>
      <w:pPr>
        <w:spacing w:after="0" w:line="2"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7"/>
          <w:szCs w:val="17"/>
          <w:color w:val="auto"/>
        </w:rPr>
        <w:t>year during the assignment, the same arrangement will be offered to you to repatriate to the US. Repatriation will be to Home Company’s place of business relating to a new assignment within the Company or to any state in the continental US should you terminate employment with Home Company. Further, should you initiate termination of your employment with the Company for other than Good Cause, before the end of this assignment, you will be required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reimburse the Company for all relocation costs outlined in this paragraph.</w:t>
      </w:r>
    </w:p>
    <w:p>
      <w:pPr>
        <w:spacing w:after="0" w:line="197"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8"/>
          <w:szCs w:val="18"/>
          <w:color w:val="auto"/>
        </w:rPr>
        <w:t>The Company will also provide you with a Relocation Allowance of USD $101,000 net. This allowance is intended to cover any miscellaneous expenses you might incur in connection with your relocation that are not covered elsewhere in this Offer Letter.</w:t>
      </w:r>
    </w:p>
    <w:p>
      <w:pPr>
        <w:spacing w:after="0" w:line="17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During the Repatriation process back at the conclusion of the assignment, you will be provided with a Relocation Allowance equal to USD $58,000, net of applicable withholdings.</w:t>
      </w:r>
    </w:p>
    <w:p>
      <w:pPr>
        <w:sectPr>
          <w:pgSz w:w="11900" w:h="16838" w:orient="portrait"/>
          <w:cols w:equalWidth="0" w:num="1">
            <w:col w:w="10980"/>
          </w:cols>
          <w:pgMar w:left="440" w:top="1440" w:right="479" w:bottom="1440" w:gutter="0" w:footer="0" w:header="0"/>
        </w:sectPr>
      </w:pPr>
    </w:p>
    <w:bookmarkStart w:id="86" w:name="page87"/>
    <w:bookmarkEnd w:id="8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Equalization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equalization is provided to:</w:t>
      </w:r>
    </w:p>
    <w:p>
      <w:pPr>
        <w:spacing w:after="0" w:line="260" w:lineRule="exact"/>
        <w:rPr>
          <w:sz w:val="20"/>
          <w:szCs w:val="20"/>
          <w:color w:val="auto"/>
        </w:rPr>
      </w:pPr>
    </w:p>
    <w:p>
      <w:pPr>
        <w:ind w:left="660" w:hanging="320"/>
        <w:spacing w:after="0"/>
        <w:tabs>
          <w:tab w:leader="none" w:pos="6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Ensure that no additional tax liability or benefit as a result of having an assignment outside the US is affected.</w:t>
      </w:r>
    </w:p>
    <w:p>
      <w:pPr>
        <w:ind w:left="660" w:hanging="320"/>
        <w:spacing w:after="0" w:line="210" w:lineRule="auto"/>
        <w:tabs>
          <w:tab w:leader="none" w:pos="6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Provide assistance to ensure compliance with US expatriate tax laws as well as the tax laws of the host country</w:t>
      </w:r>
    </w:p>
    <w:p>
      <w:pPr>
        <w:spacing w:after="0" w:line="193" w:lineRule="exact"/>
        <w:rPr>
          <w:sz w:val="20"/>
          <w:szCs w:val="20"/>
          <w:color w:val="auto"/>
        </w:rPr>
      </w:pPr>
    </w:p>
    <w:p>
      <w:pPr>
        <w:ind w:right="580"/>
        <w:spacing w:after="0" w:line="243" w:lineRule="auto"/>
        <w:rPr>
          <w:sz w:val="20"/>
          <w:szCs w:val="20"/>
          <w:color w:val="auto"/>
        </w:rPr>
      </w:pPr>
      <w:r>
        <w:rPr>
          <w:rFonts w:ascii="Times New Roman" w:cs="Times New Roman" w:eastAsia="Times New Roman" w:hAnsi="Times New Roman"/>
          <w:sz w:val="18"/>
          <w:szCs w:val="18"/>
          <w:color w:val="auto"/>
        </w:rPr>
        <w:t>The Company, through our tax consultant, will provide tax preparation assistance to ensure compliance with US tax laws as well as the laws of Basel Switzerland.</w:t>
      </w:r>
    </w:p>
    <w:p>
      <w:pPr>
        <w:spacing w:after="0" w:line="17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Interest or penalties imposed by tax authorities as a result of improper reporting or delays in providing necessary documents by you to our tax consultant will be your responsibility.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Appointment</w:t>
      </w:r>
    </w:p>
    <w:p>
      <w:pPr>
        <w:spacing w:after="0" w:line="26" w:lineRule="exact"/>
        <w:rPr>
          <w:sz w:val="20"/>
          <w:szCs w:val="20"/>
          <w:color w:val="auto"/>
        </w:rPr>
      </w:pPr>
    </w:p>
    <w:p>
      <w:pPr>
        <w:ind w:right="340"/>
        <w:spacing w:after="0" w:line="230" w:lineRule="auto"/>
        <w:rPr>
          <w:sz w:val="20"/>
          <w:szCs w:val="20"/>
          <w:color w:val="auto"/>
        </w:rPr>
      </w:pPr>
      <w:r>
        <w:rPr>
          <w:rFonts w:ascii="Times New Roman" w:cs="Times New Roman" w:eastAsia="Times New Roman" w:hAnsi="Times New Roman"/>
          <w:sz w:val="18"/>
          <w:szCs w:val="18"/>
          <w:color w:val="auto"/>
        </w:rPr>
        <w:t>Your employment with the Home Company continues to be “at-will.” This means that your employment with the Home Company may be terminated by either you or the Home Company at any time and for any reason or for no reason, with or without notice.</w:t>
      </w:r>
    </w:p>
    <w:p>
      <w:pPr>
        <w:spacing w:after="0" w:line="193"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8"/>
          <w:szCs w:val="18"/>
          <w:color w:val="auto"/>
        </w:rPr>
        <w:t>If you have any questions regarding the terms of this letter of understanding, overseas conditions of employment, or repatriation, I will be happy to discuss them further.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 David Marek</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4/19/2021</w:t>
            </w:r>
          </w:p>
        </w:tc>
      </w:tr>
      <w:tr>
        <w:trPr>
          <w:trHeight w:val="20"/>
        </w:trPr>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Dave Marek</w:t>
        <w:tab/>
        <w:t>Date</w:t>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4" w:lineRule="exact"/>
        <w:rPr>
          <w:sz w:val="20"/>
          <w:szCs w:val="20"/>
          <w:color w:val="auto"/>
        </w:rPr>
      </w:pPr>
    </w:p>
    <w:p>
      <w:pPr>
        <w:ind w:right="620"/>
        <w:spacing w:after="0" w:line="243" w:lineRule="auto"/>
        <w:rPr>
          <w:sz w:val="20"/>
          <w:szCs w:val="20"/>
          <w:color w:val="auto"/>
        </w:rPr>
      </w:pPr>
      <w:r>
        <w:rPr>
          <w:rFonts w:ascii="Times New Roman" w:cs="Times New Roman" w:eastAsia="Times New Roman" w:hAnsi="Times New Roman"/>
          <w:sz w:val="18"/>
          <w:szCs w:val="18"/>
          <w:color w:val="auto"/>
        </w:rPr>
        <w:t>I have read and accept the conditions of my assignment and repatriation as outlined. I understand that nothing contained herein shall be considered a guarantee of employment for the estimated duration of the assignment.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Lang</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4/19/2021</w:t>
            </w:r>
          </w:p>
        </w:tc>
      </w:tr>
    </w:tbl>
    <w:p>
      <w:pPr>
        <w:spacing w:after="0" w:line="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Matthew Lang</w:t>
        <w:tab/>
        <w:t>Date</w:t>
      </w:r>
    </w:p>
    <w:p>
      <w:pPr>
        <w:spacing w:after="0"/>
        <w:rPr>
          <w:sz w:val="20"/>
          <w:szCs w:val="20"/>
          <w:color w:val="auto"/>
        </w:rPr>
      </w:pPr>
      <w:r>
        <w:rPr>
          <w:rFonts w:ascii="Times New Roman" w:cs="Times New Roman" w:eastAsia="Times New Roman" w:hAnsi="Times New Roman"/>
          <w:sz w:val="18"/>
          <w:szCs w:val="18"/>
          <w:color w:val="auto"/>
        </w:rPr>
        <w:t>Chief Administrative and Legal Officer, and Corporate Secretary</w:t>
      </w:r>
    </w:p>
    <w:p>
      <w:pPr>
        <w:sectPr>
          <w:pgSz w:w="11900" w:h="16838" w:orient="portrait"/>
          <w:cols w:equalWidth="0" w:num="1">
            <w:col w:w="11120"/>
          </w:cols>
          <w:pgMar w:left="440" w:top="1440"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Marek, certify that:</w:t>
      </w:r>
    </w:p>
    <w:p>
      <w:pPr>
        <w:spacing w:after="0" w:line="164" w:lineRule="exact"/>
        <w:rPr>
          <w:sz w:val="20"/>
          <w:szCs w:val="20"/>
          <w:color w:val="auto"/>
        </w:rPr>
      </w:pPr>
    </w:p>
    <w:p>
      <w:pPr>
        <w:ind w:left="640" w:hanging="475"/>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Myovant Sciences Ltd.;</w:t>
      </w:r>
    </w:p>
    <w:p>
      <w:pPr>
        <w:spacing w:after="0" w:line="164" w:lineRule="exact"/>
        <w:rPr>
          <w:rFonts w:ascii="Times New Roman" w:cs="Times New Roman" w:eastAsia="Times New Roman" w:hAnsi="Times New Roman"/>
          <w:sz w:val="18"/>
          <w:szCs w:val="18"/>
          <w:color w:val="auto"/>
        </w:rPr>
      </w:pPr>
    </w:p>
    <w:p>
      <w:pPr>
        <w:ind w:left="160" w:firstLine="5"/>
        <w:spacing w:after="0" w:line="274" w:lineRule="auto"/>
        <w:tabs>
          <w:tab w:leader="none" w:pos="6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left="160" w:firstLine="5"/>
        <w:spacing w:after="0" w:line="274" w:lineRule="auto"/>
        <w:tabs>
          <w:tab w:leader="none" w:pos="6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160" w:firstLine="5"/>
        <w:spacing w:after="0" w:line="259" w:lineRule="auto"/>
        <w:tabs>
          <w:tab w:leader="none" w:pos="6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126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12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640" w:firstLine="2"/>
        <w:spacing w:after="0" w:line="274" w:lineRule="auto"/>
        <w:tabs>
          <w:tab w:leader="none" w:pos="126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12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160" w:firstLine="5"/>
        <w:spacing w:after="0" w:line="274" w:lineRule="auto"/>
        <w:tabs>
          <w:tab w:leader="none" w:pos="6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640" w:firstLine="2"/>
        <w:spacing w:after="0" w:line="274" w:lineRule="auto"/>
        <w:tabs>
          <w:tab w:leader="none" w:pos="126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640" w:firstLine="2"/>
        <w:spacing w:after="0" w:line="274" w:lineRule="auto"/>
        <w:tabs>
          <w:tab w:leader="none" w:pos="12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July 27, 2022</w:t>
            </w:r>
          </w:p>
        </w:tc>
        <w:tc>
          <w:tcPr>
            <w:tcW w:w="28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Marek</w:t>
            </w:r>
          </w:p>
        </w:tc>
      </w:tr>
      <w:tr>
        <w:trPr>
          <w:trHeight w:val="211"/>
        </w:trPr>
        <w:tc>
          <w:tcPr>
            <w:tcW w:w="3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Marek</w:t>
            </w:r>
          </w:p>
        </w:tc>
      </w:tr>
      <w:tr>
        <w:trPr>
          <w:trHeight w:val="233"/>
        </w:trPr>
        <w:tc>
          <w:tcPr>
            <w:tcW w:w="3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87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Uneek Mehra, certify that:</w:t>
      </w:r>
    </w:p>
    <w:p>
      <w:pPr>
        <w:spacing w:after="0" w:line="164" w:lineRule="exact"/>
        <w:rPr>
          <w:sz w:val="20"/>
          <w:szCs w:val="20"/>
          <w:color w:val="auto"/>
        </w:rPr>
      </w:pPr>
    </w:p>
    <w:p>
      <w:pPr>
        <w:ind w:left="640" w:hanging="475"/>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Myovant Sciences Ltd.;</w:t>
      </w:r>
    </w:p>
    <w:p>
      <w:pPr>
        <w:spacing w:after="0" w:line="164" w:lineRule="exact"/>
        <w:rPr>
          <w:rFonts w:ascii="Times New Roman" w:cs="Times New Roman" w:eastAsia="Times New Roman" w:hAnsi="Times New Roman"/>
          <w:sz w:val="18"/>
          <w:szCs w:val="18"/>
          <w:color w:val="auto"/>
        </w:rPr>
      </w:pPr>
    </w:p>
    <w:p>
      <w:pPr>
        <w:ind w:left="160" w:firstLine="5"/>
        <w:spacing w:after="0" w:line="274" w:lineRule="auto"/>
        <w:tabs>
          <w:tab w:leader="none" w:pos="6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left="160" w:firstLine="5"/>
        <w:spacing w:after="0" w:line="274" w:lineRule="auto"/>
        <w:tabs>
          <w:tab w:leader="none" w:pos="6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160" w:firstLine="5"/>
        <w:spacing w:after="0" w:line="259" w:lineRule="auto"/>
        <w:tabs>
          <w:tab w:leader="none" w:pos="6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126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12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640" w:firstLine="2"/>
        <w:spacing w:after="0" w:line="274" w:lineRule="auto"/>
        <w:tabs>
          <w:tab w:leader="none" w:pos="126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12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160" w:firstLine="5"/>
        <w:spacing w:after="0" w:line="274" w:lineRule="auto"/>
        <w:tabs>
          <w:tab w:leader="none" w:pos="6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640" w:firstLine="2"/>
        <w:spacing w:after="0" w:line="274" w:lineRule="auto"/>
        <w:tabs>
          <w:tab w:leader="none" w:pos="126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640" w:firstLine="2"/>
        <w:spacing w:after="0" w:line="274" w:lineRule="auto"/>
        <w:tabs>
          <w:tab w:leader="none" w:pos="12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July 27, 2022</w:t>
            </w:r>
          </w:p>
        </w:tc>
        <w:tc>
          <w:tcPr>
            <w:tcW w:w="28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Uneek Mehra</w:t>
            </w:r>
          </w:p>
        </w:tc>
      </w:tr>
      <w:tr>
        <w:trPr>
          <w:trHeight w:val="211"/>
        </w:trPr>
        <w:tc>
          <w:tcPr>
            <w:tcW w:w="3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Uneek Mehra</w:t>
            </w:r>
          </w:p>
        </w:tc>
      </w:tr>
      <w:tr>
        <w:trPr>
          <w:trHeight w:val="233"/>
        </w:trPr>
        <w:tc>
          <w:tcPr>
            <w:tcW w:w="3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874" w:right="339" w:bottom="1440" w:gutter="0" w:footer="0" w:header="0"/>
        </w:sectPr>
      </w:pPr>
    </w:p>
    <w:bookmarkStart w:id="89" w:name="page90"/>
    <w:bookmarkEnd w:id="89"/>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on Form 10-Q of Myovant Sciences Ltd. (the “Company”) for the period ended June 30, 2022 as filed with the Securities and Exchange Commission on the date hereof (the “Report”), the undersigned, David Marek, Principal Executive Officer of the Company, hereby certifies, pursuant to the requirement set forth in Rule 13a-14(b) of the Securities Exchange Act of 1934, as amended (the “Exchange Act”), and 18 U.S.C. Section 1350, that to the best of his knowledge:</w:t>
      </w:r>
    </w:p>
    <w:p>
      <w:pPr>
        <w:spacing w:after="0" w:line="127" w:lineRule="exact"/>
        <w:rPr>
          <w:sz w:val="20"/>
          <w:szCs w:val="20"/>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July 27, 2022</w:t>
            </w:r>
          </w:p>
        </w:tc>
        <w:tc>
          <w:tcPr>
            <w:tcW w:w="28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Marek</w:t>
            </w:r>
          </w:p>
        </w:tc>
      </w:tr>
      <w:tr>
        <w:trPr>
          <w:trHeight w:val="211"/>
        </w:trPr>
        <w:tc>
          <w:tcPr>
            <w:tcW w:w="3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Marek</w:t>
            </w:r>
          </w:p>
        </w:tc>
      </w:tr>
      <w:tr>
        <w:trPr>
          <w:trHeight w:val="233"/>
        </w:trPr>
        <w:tc>
          <w:tcPr>
            <w:tcW w:w="3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391"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340"/>
          </w:cols>
          <w:pgMar w:left="320" w:top="874" w:right="239" w:bottom="1440" w:gutter="0" w:footer="0" w:header="0"/>
        </w:sectPr>
      </w:pPr>
    </w:p>
    <w:bookmarkStart w:id="90" w:name="page91"/>
    <w:bookmarkEnd w:id="90"/>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on Form 10-Q of Myovant Sciences Ltd. (the “Company”) for the period ended June 30, 2022 as filed with the Securities and Exchange Commission on the date hereof (the “Report”), the undersigned, Uneek Mehra, Principal Financial Officer of the Company, hereby certifies, pursuant to the requirement set forth in Rule 13a-14(b) of the Securities Exchange Act of 1934, as amended (the “Exchange Act”), and 18 U.S.C. Section 1350, that to the best of his knowledge:</w:t>
      </w:r>
    </w:p>
    <w:p>
      <w:pPr>
        <w:spacing w:after="0" w:line="127" w:lineRule="exact"/>
        <w:rPr>
          <w:sz w:val="20"/>
          <w:szCs w:val="20"/>
          <w:color w:val="auto"/>
        </w:rPr>
      </w:pPr>
    </w:p>
    <w:p>
      <w:pPr>
        <w:ind w:left="640" w:hanging="31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July 27, 2022</w:t>
            </w:r>
          </w:p>
        </w:tc>
        <w:tc>
          <w:tcPr>
            <w:tcW w:w="28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Uneek Mehra</w:t>
            </w:r>
          </w:p>
        </w:tc>
      </w:tr>
      <w:tr>
        <w:trPr>
          <w:trHeight w:val="211"/>
        </w:trPr>
        <w:tc>
          <w:tcPr>
            <w:tcW w:w="3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Uneek Mehra</w:t>
            </w:r>
          </w:p>
        </w:tc>
      </w:tr>
      <w:tr>
        <w:trPr>
          <w:trHeight w:val="233"/>
        </w:trPr>
        <w:tc>
          <w:tcPr>
            <w:tcW w:w="3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391"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340"/>
      </w:cols>
      <w:pgMar w:left="320" w:top="8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9"/>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upperLetter"/>
      <w:start w:val="35"/>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lvl w:ilvl="1">
      <w:lvlJc w:val="left"/>
      <w:lvlText w:val="%2"/>
      <w:numFmt w:val="decimal"/>
      <w:start w:val="104"/>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03" Type="http://schemas.openxmlformats.org/officeDocument/2006/relationships/hyperlink" Target="http://www.sec.gov/Archives/edgar/data/1679082/000119312516727309/d221801dex31.htm" TargetMode="External"/><Relationship Id="rId104" Type="http://schemas.openxmlformats.org/officeDocument/2006/relationships/hyperlink" Target="http://www.sec.gov/Archives/edgar/data/1679082/000119312516727309/d221801dex32.htm" TargetMode="External"/><Relationship Id="rId105" Type="http://schemas.openxmlformats.org/officeDocument/2006/relationships/hyperlink" Target="https://www.sec.gov/Archives/edgar/data/1679082/000167908220000010/myovantex3312312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2022-07-27T16:22:23Z</dcterms:created>
  <dcterms:modified xsi:type="dcterms:W3CDTF">2022-07-27T16:22:23Z</dcterms:modified>
</cp:coreProperties>
</file>