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Lang Matthew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Myovant Sciences Ltd.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MYOV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MYOVANT SCIENCES INC.</w:t>
            </w:r>
          </w:p>
        </w:tc>
        <w:tc>
          <w:tcPr>
            <w:tcW w:w="21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04/15/2022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2000 SIERRA POINT PARKWAY, 9TH FLOOR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4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General Counsel &amp; Corp. Secy.</w:t>
      </w:r>
    </w:p>
    <w:p>
      <w:pPr>
        <w:spacing w:after="0" w:line="40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0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BRISBANE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94005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04/15/2022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111,111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284,039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30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Common Shares are to be acquired upon the vesting of certain Restricted Stock Units ("RSUs") granted to the Reporting Person. 1/4 of the common shares underlying the RSUs vest on April 15, 2023, and 1/16 of the common shares underlying the RSUs vest each quarter thereafter, provided the Reporting Person has provided continuous service to the Issuer or its affiliates on each such date.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Matthew Lang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04/19/2022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12069" TargetMode="External"/><Relationship Id="rId13" Type="http://schemas.openxmlformats.org/officeDocument/2006/relationships/hyperlink" Target="http://www.sec.gov/cgi-bin/browse-edgar?action=getcompany&amp;CIK=00016790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2022-04-19T15:50:55Z</dcterms:created>
  <dcterms:modified xsi:type="dcterms:W3CDTF">2022-04-19T15:50:55Z</dcterms:modified>
</cp:coreProperties>
</file>