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6281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8142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40" w:space="300"/>
            <w:col w:w="8540"/>
          </w:cols>
          <w:pgMar w:left="460" w:top="221" w:right="359" w:bottom="127"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GUINAN MARK</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Myovant Sciences Ltd.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MYOV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64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03/10/2023</w:t>
            </w: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5"/>
              </w:rPr>
              <w:t>C/O MYOVANT SCIENCES, INC.</w:t>
            </w:r>
          </w:p>
        </w:tc>
        <w:tc>
          <w:tcPr>
            <w:tcW w:w="1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2000 SIERRA POINT PARKWAY, 9TH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BRISBANE</w:t>
            </w:r>
          </w:p>
        </w:tc>
        <w:tc>
          <w:tcPr>
            <w:tcW w:w="122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94005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03/10/2023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3"/>
              </w:rPr>
              <w:t>3,673</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jc w:val="right"/>
              <w:ind w:right="62"/>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19.71</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ind w:left="440"/>
              <w:spacing w:after="0"/>
              <w:rPr>
                <w:sz w:val="20"/>
                <w:szCs w:val="20"/>
                <w:color w:val="auto"/>
              </w:rPr>
            </w:pPr>
            <w:r>
              <w:rPr>
                <w:rFonts w:ascii="Arial" w:cs="Arial" w:eastAsia="Arial" w:hAnsi="Arial"/>
                <w:sz w:val="13"/>
                <w:szCs w:val="13"/>
                <w:color w:val="0000FF"/>
              </w:rPr>
              <w:t>45,000</w:t>
            </w:r>
          </w:p>
        </w:tc>
        <w:tc>
          <w:tcPr>
            <w:tcW w:w="5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07/22/2028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45,000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2"/>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7.65</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ind w:left="440"/>
              <w:spacing w:after="0"/>
              <w:rPr>
                <w:sz w:val="20"/>
                <w:szCs w:val="20"/>
                <w:color w:val="auto"/>
              </w:rPr>
            </w:pPr>
            <w:r>
              <w:rPr>
                <w:rFonts w:ascii="Arial" w:cs="Arial" w:eastAsia="Arial" w:hAnsi="Arial"/>
                <w:sz w:val="13"/>
                <w:szCs w:val="13"/>
                <w:color w:val="0000FF"/>
              </w:rPr>
              <w:t>58,608</w:t>
            </w:r>
          </w:p>
        </w:tc>
        <w:tc>
          <w:tcPr>
            <w:tcW w:w="5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08/22/2029</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58,608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2"/>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21.47</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ind w:left="440"/>
              <w:spacing w:after="0"/>
              <w:rPr>
                <w:sz w:val="20"/>
                <w:szCs w:val="20"/>
                <w:color w:val="auto"/>
              </w:rPr>
            </w:pPr>
            <w:r>
              <w:rPr>
                <w:rFonts w:ascii="Arial" w:cs="Arial" w:eastAsia="Arial" w:hAnsi="Arial"/>
                <w:sz w:val="13"/>
                <w:szCs w:val="13"/>
                <w:color w:val="0000FF"/>
              </w:rPr>
              <w:t>21,603</w:t>
            </w:r>
          </w:p>
        </w:tc>
        <w:tc>
          <w:tcPr>
            <w:tcW w:w="5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09/14/2030</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21,603</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42"/>
              <w:spacing w:after="0" w:line="94" w:lineRule="exact"/>
              <w:rPr>
                <w:sz w:val="20"/>
                <w:szCs w:val="20"/>
                <w:color w:val="auto"/>
              </w:rPr>
            </w:pPr>
            <w:r>
              <w:rPr>
                <w:rFonts w:ascii="Arial" w:cs="Arial" w:eastAsia="Arial" w:hAnsi="Arial"/>
                <w:sz w:val="10"/>
                <w:szCs w:val="10"/>
                <w:color w:val="0000FF"/>
              </w:rPr>
              <w:t>Shares</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22.71</w:t>
            </w:r>
          </w:p>
        </w:tc>
        <w:tc>
          <w:tcPr>
            <w:tcW w:w="14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0000FF"/>
                <w:w w:val="89"/>
              </w:rPr>
              <w:t>03/10/2023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(1)</w:t>
            </w:r>
          </w:p>
        </w:tc>
        <w:tc>
          <w:tcPr>
            <w:tcW w:w="920" w:type="dxa"/>
            <w:vAlign w:val="bottom"/>
          </w:tcPr>
          <w:p>
            <w:pPr>
              <w:ind w:left="440"/>
              <w:spacing w:after="0"/>
              <w:rPr>
                <w:sz w:val="20"/>
                <w:szCs w:val="20"/>
                <w:color w:val="auto"/>
              </w:rPr>
            </w:pPr>
            <w:r>
              <w:rPr>
                <w:rFonts w:ascii="Arial" w:cs="Arial" w:eastAsia="Arial" w:hAnsi="Arial"/>
                <w:sz w:val="13"/>
                <w:szCs w:val="13"/>
                <w:color w:val="0000FF"/>
              </w:rPr>
              <w:t>21,096</w:t>
            </w:r>
          </w:p>
        </w:tc>
        <w:tc>
          <w:tcPr>
            <w:tcW w:w="5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11/04/2031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21,096</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(5)</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42"/>
              <w:spacing w:after="0" w:line="105" w:lineRule="exact"/>
              <w:rPr>
                <w:sz w:val="20"/>
                <w:szCs w:val="20"/>
                <w:color w:val="auto"/>
              </w:rPr>
            </w:pPr>
            <w:r>
              <w:rPr>
                <w:rFonts w:ascii="Arial" w:cs="Arial" w:eastAsia="Arial" w:hAnsi="Arial"/>
                <w:sz w:val="12"/>
                <w:szCs w:val="12"/>
                <w:color w:val="0000FF"/>
                <w:w w:val="89"/>
              </w:rPr>
              <w:t>Shares</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2023, Sumitovant Biopharma Ltd. ("Sumitovant") acquired all of the common shares of the Issuer not previously held by it pursuant to the terms of an Agreement and Plan of Merger, dated as of October 23, 2022 (the "Merger Agreement"), and a related Statutory Merger Agreement (the "Statutory Merger Agreement", and together with the Merger Agreement, the "Merger Agreements"), entered into by and among the Issuer, Sumitovant, Zeus Sciences Ltd., a wholly owned subsidiary of Sumitovant ("Merger Sub"), and other parties thereto. Pursuant to the Merger Agreements, Merger Sub merged with and into the Issuer, with the Issuer continuing as a wholly owned subsidiary of Sumitovant (the "Merger").</w:t>
      </w:r>
    </w:p>
    <w:p>
      <w:pPr>
        <w:spacing w:after="0" w:line="30" w:lineRule="exact"/>
        <w:rPr>
          <w:rFonts w:ascii="Arial" w:cs="Arial" w:eastAsia="Arial" w:hAnsi="Arial"/>
          <w:sz w:val="13"/>
          <w:szCs w:val="13"/>
          <w:color w:val="008000"/>
        </w:rPr>
      </w:pPr>
    </w:p>
    <w:p>
      <w:pPr>
        <w:ind w:left="40" w:right="140" w:firstLine="2"/>
        <w:spacing w:after="0" w:line="301"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Reflects the vested portion of 9,859 restricted stock units ("RSUs") granted to the Reporting Person as the annual non-employee director grant, which pro-ration was calculated based on the number of days the Reporting Person had served as a director from October 26, 2022 to the effective time of the Merger (the "Effective Time") (by using 365 days for a full year), which was equal to 3,673 (rounded down to the nearest whole RSU). Such vested RSUs were converted into the RSU Consideration (as defined below). The remaining 6,186 unvested RSUs were forfeited without consideration as of the Effective Time.</w:t>
      </w:r>
    </w:p>
    <w:p>
      <w:pPr>
        <w:spacing w:after="0" w:line="1" w:lineRule="exact"/>
        <w:rPr>
          <w:rFonts w:ascii="Arial" w:cs="Arial" w:eastAsia="Arial" w:hAnsi="Arial"/>
          <w:sz w:val="11"/>
          <w:szCs w:val="11"/>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outstanding immediately prior to the Effective Time that had not been settled in Issuer common shares was canceled and converted into the right to receive an amount (subject to any applicable withholding tax) in cash, without interest, equal to the product of (a) $27.00 in cash, without interest and less any applicable withholding taxes (the "Per Share Consideration"), multiplied by (b) the total number of Issuer common shares subject to such RSU immediately prior to the Effective Time (the "RSU Consideration").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are fully vested.</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then-outstanding and unexercised Issuer stock option (whether vested or unvested) was canceled and converted into the right to receive an amount (subject to any withholding tax) in cash, without interest, equal to the product of (a) the excess, if any, of (i) the Per Share Consideration over (ii) the applicable exercise price for such option, multiplied by (b) the total number of Issuer common shares subject to such option.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Matthew Lang, Attorney-in- </w:t>
      </w:r>
      <w:r>
        <w:rPr>
          <w:rFonts w:ascii="Arial" w:cs="Arial" w:eastAsia="Arial" w:hAnsi="Arial"/>
          <w:sz w:val="33"/>
          <w:szCs w:val="33"/>
          <w:color w:val="0000FF"/>
          <w:vertAlign w:val="subscript"/>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998" TargetMode="External"/><Relationship Id="rId13" Type="http://schemas.openxmlformats.org/officeDocument/2006/relationships/hyperlink" Target="http://www.sec.gov/cgi-bin/browse-edgar?action=getcompany&amp;CIK=0001679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2023-03-10T08:38:36Z</dcterms:created>
  <dcterms:modified xsi:type="dcterms:W3CDTF">2023-03-10T08:38:36Z</dcterms:modified>
</cp:coreProperties>
</file>